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1"/>
        <w:tabs>
          <w:tab w:leader="none" w:pos="2480" w:val="left"/>
        </w:tabs>
        <w:ind/>
        <w:jc w:val="center"/>
        <w:rPr>
          <w:sz w:val="26"/>
        </w:rPr>
      </w:pPr>
      <w:r>
        <w:rPr>
          <w:sz w:val="26"/>
        </w:rPr>
        <w:t>ФЕДЕРАЛЬНОЕ ГОСУДАРСТВЕННОЕ БЮДЖЕТНОЕ ОБРАЗОВАТЕЛЬНОЕ УЧРЕЖДЕНИЕ ВЫСШЕГО ОБРАЗОВАНИЯ</w:t>
      </w:r>
    </w:p>
    <w:p w14:paraId="05000000">
      <w:pPr>
        <w:widowControl w:val="1"/>
        <w:tabs>
          <w:tab w:leader="none" w:pos="2480" w:val="left"/>
        </w:tabs>
        <w:ind w:hanging="142"/>
        <w:jc w:val="center"/>
        <w:rPr>
          <w:b w:val="1"/>
          <w:sz w:val="26"/>
        </w:rPr>
      </w:pPr>
      <w:r>
        <w:rPr>
          <w:b w:val="1"/>
          <w:sz w:val="26"/>
        </w:rPr>
        <w:t>«КУБАНСКИЙ ГОСУДАРСТВЕННЫЙ МЕДИЦИНСКИЙ УНИВЕРСИТЕТ»</w:t>
      </w:r>
    </w:p>
    <w:p w14:paraId="06000000">
      <w:pPr>
        <w:widowControl w:val="1"/>
        <w:tabs>
          <w:tab w:leader="none" w:pos="2480" w:val="left"/>
        </w:tabs>
        <w:ind/>
        <w:jc w:val="center"/>
        <w:rPr>
          <w:sz w:val="26"/>
        </w:rPr>
      </w:pPr>
      <w:r>
        <w:rPr>
          <w:sz w:val="26"/>
        </w:rPr>
        <w:t>МИНИСТЕРСТВА ЗДРАВООХРАНЕНИЯ РОССИЙСКОЙ ФЕДЕРАЦИИ</w:t>
      </w:r>
    </w:p>
    <w:p w14:paraId="07000000">
      <w:pPr>
        <w:widowControl w:val="1"/>
        <w:tabs>
          <w:tab w:leader="none" w:pos="2480" w:val="left"/>
        </w:tabs>
        <w:ind/>
        <w:jc w:val="center"/>
        <w:rPr>
          <w:b w:val="1"/>
          <w:sz w:val="28"/>
        </w:rPr>
      </w:pPr>
    </w:p>
    <w:p w14:paraId="08000000">
      <w:pPr>
        <w:widowControl w:val="1"/>
        <w:tabs>
          <w:tab w:leader="none" w:pos="2480" w:val="left"/>
        </w:tabs>
        <w:ind/>
        <w:jc w:val="center"/>
        <w:rPr>
          <w:b w:val="1"/>
          <w:sz w:val="28"/>
        </w:rPr>
      </w:pPr>
    </w:p>
    <w:tbl>
      <w:tblPr>
        <w:tblStyle w:val="Style_3"/>
        <w:tblW w:type="auto" w:w="0"/>
        <w:tblInd w:type="dxa" w:w="4644"/>
        <w:tblLayout w:type="fixed"/>
      </w:tblPr>
      <w:tblGrid>
        <w:gridCol w:w="4395"/>
      </w:tblGrid>
      <w:tr>
        <w:tc>
          <w:tcPr>
            <w:tcW w:type="dxa" w:w="4395"/>
            <w:shd w:fill="auto" w:val="clear"/>
          </w:tcPr>
          <w:p w14:paraId="09000000">
            <w:pPr>
              <w:widowControl w:val="1"/>
              <w:tabs>
                <w:tab w:leader="none" w:pos="2480" w:val="left"/>
              </w:tabs>
              <w:ind/>
              <w:jc w:val="both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УТВЕРЖДАЮ</w:t>
            </w:r>
          </w:p>
          <w:p w14:paraId="0A000000">
            <w:pPr>
              <w:widowControl w:val="1"/>
              <w:tabs>
                <w:tab w:leader="none" w:pos="2480" w:val="left"/>
              </w:tabs>
              <w:ind/>
              <w:jc w:val="both"/>
              <w:rPr>
                <w:sz w:val="28"/>
              </w:rPr>
            </w:pPr>
            <w:r>
              <w:rPr>
                <w:sz w:val="28"/>
              </w:rPr>
              <w:t>Проректор по учебной работе</w:t>
            </w:r>
          </w:p>
          <w:p w14:paraId="0B000000">
            <w:pPr>
              <w:widowControl w:val="1"/>
              <w:tabs>
                <w:tab w:leader="none" w:pos="2480" w:val="left"/>
              </w:tabs>
              <w:ind/>
              <w:jc w:val="both"/>
              <w:rPr>
                <w:sz w:val="28"/>
              </w:rPr>
            </w:pPr>
          </w:p>
          <w:p w14:paraId="0C000000">
            <w:pPr>
              <w:widowControl w:val="1"/>
              <w:tabs>
                <w:tab w:leader="none" w:pos="2480" w:val="left"/>
              </w:tabs>
              <w:ind/>
              <w:jc w:val="both"/>
              <w:rPr>
                <w:sz w:val="28"/>
              </w:rPr>
            </w:pPr>
            <w:r>
              <w:rPr>
                <w:sz w:val="28"/>
              </w:rPr>
              <w:t>_____________Т.В. Гайворонская</w:t>
            </w:r>
          </w:p>
          <w:p w14:paraId="0D000000">
            <w:pPr>
              <w:widowControl w:val="1"/>
              <w:tabs>
                <w:tab w:leader="none" w:pos="2480" w:val="left"/>
              </w:tabs>
              <w:ind/>
              <w:jc w:val="center"/>
              <w:rPr>
                <w:sz w:val="28"/>
              </w:rPr>
            </w:pPr>
          </w:p>
          <w:p w14:paraId="0E000000">
            <w:pPr>
              <w:widowControl w:val="1"/>
              <w:tabs>
                <w:tab w:leader="none" w:pos="2480" w:val="left"/>
              </w:tabs>
              <w:ind/>
              <w:rPr>
                <w:b w:val="1"/>
                <w:sz w:val="28"/>
              </w:rPr>
            </w:pPr>
            <w:r>
              <w:rPr>
                <w:sz w:val="28"/>
              </w:rPr>
              <w:t>«___»  _______</w:t>
            </w:r>
            <w:r>
              <w:rPr>
                <w:sz w:val="28"/>
              </w:rPr>
              <w:t>_______</w:t>
            </w:r>
            <w:r>
              <w:rPr>
                <w:sz w:val="28"/>
              </w:rPr>
              <w:t xml:space="preserve">____ </w:t>
            </w:r>
            <w:r>
              <w:rPr>
                <w:sz w:val="28"/>
              </w:rPr>
              <w:t>2025</w:t>
            </w:r>
            <w:r>
              <w:rPr>
                <w:sz w:val="28"/>
              </w:rPr>
              <w:t>г.</w:t>
            </w:r>
          </w:p>
        </w:tc>
      </w:tr>
    </w:tbl>
    <w:p w14:paraId="0F000000">
      <w:pPr>
        <w:widowControl w:val="1"/>
        <w:tabs>
          <w:tab w:leader="none" w:pos="2480" w:val="left"/>
        </w:tabs>
        <w:ind/>
        <w:jc w:val="center"/>
        <w:rPr>
          <w:b w:val="1"/>
          <w:sz w:val="28"/>
        </w:rPr>
      </w:pPr>
    </w:p>
    <w:p w14:paraId="10000000">
      <w:pPr>
        <w:widowControl w:val="1"/>
        <w:tabs>
          <w:tab w:leader="none" w:pos="2480" w:val="left"/>
        </w:tabs>
        <w:ind/>
        <w:jc w:val="center"/>
        <w:rPr>
          <w:b w:val="1"/>
          <w:sz w:val="28"/>
        </w:rPr>
      </w:pPr>
    </w:p>
    <w:p w14:paraId="11000000">
      <w:pPr>
        <w:widowControl w:val="1"/>
        <w:ind w:firstLine="709"/>
        <w:jc w:val="both"/>
        <w:rPr>
          <w:sz w:val="28"/>
        </w:rPr>
      </w:pPr>
    </w:p>
    <w:p w14:paraId="12000000">
      <w:pPr>
        <w:widowControl w:val="1"/>
        <w:ind w:firstLine="709"/>
        <w:jc w:val="center"/>
        <w:rPr>
          <w:sz w:val="28"/>
        </w:rPr>
      </w:pPr>
    </w:p>
    <w:p w14:paraId="13000000">
      <w:pPr>
        <w:widowControl w:val="1"/>
        <w:ind w:firstLine="709"/>
        <w:jc w:val="center"/>
        <w:rPr>
          <w:sz w:val="28"/>
        </w:rPr>
      </w:pPr>
    </w:p>
    <w:p w14:paraId="14000000">
      <w:pPr>
        <w:widowControl w:val="1"/>
        <w:ind w:firstLine="709"/>
        <w:jc w:val="center"/>
        <w:rPr>
          <w:sz w:val="28"/>
        </w:rPr>
      </w:pPr>
    </w:p>
    <w:p w14:paraId="15000000">
      <w:pPr>
        <w:widowControl w:val="1"/>
        <w:ind/>
        <w:jc w:val="center"/>
        <w:rPr>
          <w:sz w:val="28"/>
        </w:rPr>
      </w:pPr>
    </w:p>
    <w:p w14:paraId="16000000">
      <w:pPr>
        <w:pStyle w:val="Style_1"/>
        <w:widowControl w:val="1"/>
        <w:tabs>
          <w:tab w:leader="none" w:pos="1080" w:val="left"/>
        </w:tabs>
        <w:ind w:firstLine="900"/>
        <w:jc w:val="center"/>
        <w:rPr>
          <w:b w:val="1"/>
          <w:sz w:val="28"/>
        </w:rPr>
      </w:pPr>
    </w:p>
    <w:p w14:paraId="17000000">
      <w:pPr>
        <w:widowControl w:val="1"/>
        <w:ind/>
        <w:jc w:val="center"/>
        <w:rPr>
          <w:b w:val="1"/>
          <w:color w:themeColor="text1" w:val="000000"/>
          <w:sz w:val="28"/>
        </w:rPr>
      </w:pPr>
      <w:r>
        <w:rPr>
          <w:b w:val="1"/>
          <w:color w:themeColor="text1" w:val="000000"/>
          <w:sz w:val="28"/>
        </w:rPr>
        <w:t>РАБОЧАЯ ПРОГРАММА</w:t>
      </w:r>
    </w:p>
    <w:p w14:paraId="18000000">
      <w:pPr>
        <w:widowControl w:val="1"/>
        <w:ind/>
        <w:jc w:val="center"/>
        <w:rPr>
          <w:b w:val="1"/>
          <w:caps w:val="1"/>
          <w:color w:themeColor="text1" w:val="000000"/>
          <w:sz w:val="28"/>
        </w:rPr>
      </w:pPr>
      <w:r>
        <w:rPr>
          <w:b w:val="1"/>
          <w:caps w:val="1"/>
          <w:color w:themeColor="text1" w:val="000000"/>
          <w:sz w:val="28"/>
        </w:rPr>
        <w:t>государственной итоговой аттестации</w:t>
      </w:r>
    </w:p>
    <w:p w14:paraId="19000000">
      <w:pPr>
        <w:widowControl w:val="1"/>
        <w:ind/>
        <w:jc w:val="center"/>
        <w:rPr>
          <w:b w:val="1"/>
          <w:caps w:val="1"/>
          <w:color w:themeColor="text1" w:val="000000"/>
          <w:sz w:val="28"/>
        </w:rPr>
      </w:pPr>
    </w:p>
    <w:p w14:paraId="1A000000">
      <w:pPr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Для специальности: 3</w:t>
      </w:r>
      <w:r>
        <w:rPr>
          <w:color w:themeColor="text1" w:val="000000"/>
          <w:sz w:val="28"/>
        </w:rPr>
        <w:t>1</w:t>
      </w:r>
      <w:r>
        <w:rPr>
          <w:color w:themeColor="text1" w:val="000000"/>
          <w:sz w:val="28"/>
        </w:rPr>
        <w:t>.02</w:t>
      </w:r>
      <w:r>
        <w:rPr>
          <w:color w:themeColor="text1" w:val="000000"/>
          <w:sz w:val="28"/>
        </w:rPr>
        <w:t>.0</w:t>
      </w:r>
      <w:r>
        <w:rPr>
          <w:color w:themeColor="text1" w:val="000000"/>
          <w:sz w:val="28"/>
        </w:rPr>
        <w:t>6</w:t>
      </w:r>
      <w:r>
        <w:rPr>
          <w:color w:themeColor="text1" w:val="000000"/>
          <w:sz w:val="28"/>
        </w:rPr>
        <w:t xml:space="preserve"> </w:t>
      </w:r>
      <w:r>
        <w:rPr>
          <w:color w:themeColor="text1" w:val="000000"/>
          <w:sz w:val="28"/>
        </w:rPr>
        <w:t>Стоматология профилактическая</w:t>
      </w:r>
    </w:p>
    <w:p w14:paraId="1B000000">
      <w:pPr>
        <w:widowControl w:val="1"/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Уровень: </w:t>
      </w:r>
      <w:r>
        <w:rPr>
          <w:color w:themeColor="text1" w:val="000000"/>
          <w:sz w:val="28"/>
        </w:rPr>
        <w:t>среднее профессиональное образование</w:t>
      </w:r>
    </w:p>
    <w:p w14:paraId="1C000000">
      <w:pPr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Форма обучения: очная</w:t>
      </w:r>
    </w:p>
    <w:p w14:paraId="1D000000">
      <w:pPr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Квалификация выпускника: </w:t>
      </w:r>
      <w:r>
        <w:rPr>
          <w:color w:themeColor="text1" w:val="000000"/>
          <w:sz w:val="28"/>
        </w:rPr>
        <w:t>Гигиенист стоматологический</w:t>
      </w:r>
    </w:p>
    <w:p w14:paraId="1E000000">
      <w:pPr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Курс: </w:t>
      </w:r>
      <w:r>
        <w:rPr>
          <w:color w:themeColor="text1" w:val="000000"/>
          <w:sz w:val="28"/>
        </w:rPr>
        <w:t>II</w:t>
      </w:r>
    </w:p>
    <w:p w14:paraId="1F000000">
      <w:pPr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Семестр: 4</w:t>
      </w:r>
    </w:p>
    <w:p w14:paraId="20000000">
      <w:pPr>
        <w:rPr>
          <w:b w:val="1"/>
          <w:color w:themeColor="text1" w:val="000000"/>
          <w:sz w:val="28"/>
        </w:rPr>
      </w:pPr>
    </w:p>
    <w:p w14:paraId="21000000">
      <w:pPr>
        <w:pStyle w:val="Style_1"/>
        <w:widowControl w:val="1"/>
        <w:tabs>
          <w:tab w:leader="none" w:pos="1080" w:val="left"/>
        </w:tabs>
        <w:ind w:firstLine="900"/>
        <w:jc w:val="center"/>
        <w:rPr>
          <w:b w:val="1"/>
          <w:color w:themeColor="text1" w:val="000000"/>
          <w:sz w:val="28"/>
        </w:rPr>
      </w:pPr>
    </w:p>
    <w:p w14:paraId="22000000">
      <w:pPr>
        <w:widowControl w:val="1"/>
        <w:ind/>
        <w:jc w:val="center"/>
        <w:rPr>
          <w:color w:themeColor="text1" w:val="000000"/>
          <w:sz w:val="28"/>
        </w:rPr>
      </w:pPr>
    </w:p>
    <w:p w14:paraId="23000000">
      <w:pPr>
        <w:widowControl w:val="1"/>
        <w:ind/>
        <w:jc w:val="center"/>
        <w:rPr>
          <w:color w:themeColor="text1" w:val="000000"/>
          <w:sz w:val="28"/>
        </w:rPr>
      </w:pPr>
    </w:p>
    <w:p w14:paraId="24000000">
      <w:pPr>
        <w:widowControl w:val="1"/>
        <w:ind/>
        <w:jc w:val="center"/>
        <w:rPr>
          <w:color w:themeColor="text1" w:val="000000"/>
          <w:sz w:val="28"/>
        </w:rPr>
      </w:pPr>
    </w:p>
    <w:p w14:paraId="25000000">
      <w:pPr>
        <w:widowControl w:val="1"/>
        <w:ind/>
        <w:jc w:val="center"/>
        <w:rPr>
          <w:color w:themeColor="text1" w:val="000000"/>
          <w:sz w:val="28"/>
        </w:rPr>
      </w:pPr>
    </w:p>
    <w:p w14:paraId="26000000">
      <w:pPr>
        <w:widowControl w:val="1"/>
        <w:ind/>
        <w:jc w:val="center"/>
        <w:rPr>
          <w:color w:themeColor="text1" w:val="000000"/>
          <w:sz w:val="28"/>
        </w:rPr>
      </w:pPr>
    </w:p>
    <w:p w14:paraId="27000000">
      <w:pPr>
        <w:widowControl w:val="1"/>
        <w:ind/>
        <w:jc w:val="center"/>
        <w:rPr>
          <w:color w:themeColor="text1" w:val="000000"/>
          <w:sz w:val="28"/>
        </w:rPr>
      </w:pPr>
    </w:p>
    <w:p w14:paraId="28000000">
      <w:pPr>
        <w:widowControl w:val="1"/>
        <w:ind/>
        <w:jc w:val="center"/>
        <w:rPr>
          <w:color w:themeColor="text1" w:val="000000"/>
          <w:sz w:val="28"/>
        </w:rPr>
      </w:pPr>
    </w:p>
    <w:p w14:paraId="29000000">
      <w:pPr>
        <w:widowControl w:val="1"/>
        <w:ind/>
        <w:jc w:val="center"/>
        <w:rPr>
          <w:color w:themeColor="text1" w:val="000000"/>
          <w:sz w:val="28"/>
        </w:rPr>
      </w:pPr>
    </w:p>
    <w:p w14:paraId="2A000000">
      <w:pPr>
        <w:widowControl w:val="1"/>
        <w:ind/>
        <w:jc w:val="center"/>
        <w:rPr>
          <w:color w:themeColor="text1" w:val="000000"/>
          <w:sz w:val="28"/>
        </w:rPr>
      </w:pPr>
    </w:p>
    <w:p w14:paraId="2B000000">
      <w:pPr>
        <w:widowControl w:val="1"/>
        <w:ind/>
        <w:jc w:val="center"/>
        <w:rPr>
          <w:color w:themeColor="text1" w:val="000000"/>
          <w:sz w:val="28"/>
        </w:rPr>
      </w:pPr>
    </w:p>
    <w:p w14:paraId="2C000000">
      <w:pPr>
        <w:widowControl w:val="1"/>
        <w:ind/>
        <w:jc w:val="center"/>
        <w:rPr>
          <w:color w:themeColor="text1" w:val="000000"/>
          <w:sz w:val="28"/>
        </w:rPr>
      </w:pPr>
    </w:p>
    <w:p w14:paraId="2D000000">
      <w:pPr>
        <w:widowControl w:val="1"/>
        <w:ind/>
        <w:jc w:val="center"/>
        <w:rPr>
          <w:color w:themeColor="text1" w:val="000000"/>
          <w:sz w:val="28"/>
        </w:rPr>
      </w:pPr>
    </w:p>
    <w:p w14:paraId="2E000000">
      <w:pPr>
        <w:widowControl w:val="1"/>
        <w:ind/>
        <w:jc w:val="center"/>
        <w:rPr>
          <w:color w:themeColor="text1" w:val="000000"/>
          <w:sz w:val="28"/>
        </w:rPr>
      </w:pPr>
    </w:p>
    <w:p w14:paraId="2F000000">
      <w:pPr>
        <w:widowControl w:val="1"/>
        <w:ind/>
        <w:jc w:val="center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Краснодар 2025</w:t>
      </w:r>
    </w:p>
    <w:p w14:paraId="30000000">
      <w:pPr>
        <w:pStyle w:val="Style_1"/>
        <w:widowControl w:val="1"/>
        <w:spacing w:line="242" w:lineRule="auto"/>
        <w:ind w:firstLine="8"/>
        <w:rPr>
          <w:color w:themeColor="text1" w:val="000000"/>
          <w:spacing w:val="-4"/>
          <w:sz w:val="28"/>
        </w:rPr>
      </w:pPr>
      <w:r>
        <w:rPr>
          <w:color w:themeColor="text1" w:val="000000"/>
          <w:sz w:val="28"/>
        </w:rPr>
        <w:t xml:space="preserve">Программа государственной итоговой аттестации составлена в соответствии с требованиями федерального государственного образовательного стандарта среднего профессионального образования (ФГОС CПO) по направлению подготовки </w:t>
      </w:r>
      <w:r>
        <w:rPr>
          <w:color w:themeColor="text1" w:val="000000"/>
          <w:sz w:val="28"/>
        </w:rPr>
        <w:t>31.02.06 «Стоматология профилактическая»</w:t>
      </w:r>
      <w:r>
        <w:rPr>
          <w:color w:themeColor="text1" w:val="000000"/>
          <w:sz w:val="28"/>
        </w:rPr>
        <w:t xml:space="preserve"> (уровень среднего профессионального образования), утвержденного приказом Министерства просвещения Росси</w:t>
      </w:r>
      <w:r>
        <w:rPr>
          <w:color w:themeColor="text1" w:val="000000"/>
          <w:sz w:val="28"/>
        </w:rPr>
        <w:t>йской Федерации от 13 июля 2021</w:t>
      </w:r>
      <w:r>
        <w:rPr>
          <w:color w:themeColor="text1" w:val="000000"/>
          <w:sz w:val="28"/>
        </w:rPr>
        <w:t>г. № 449; профессионального</w:t>
      </w:r>
      <w:r>
        <w:rPr>
          <w:color w:themeColor="text1" w:val="000000"/>
          <w:spacing w:val="62"/>
          <w:sz w:val="28"/>
        </w:rPr>
        <w:t xml:space="preserve"> </w:t>
      </w:r>
      <w:r>
        <w:rPr>
          <w:color w:themeColor="text1" w:val="000000"/>
          <w:sz w:val="28"/>
        </w:rPr>
        <w:t>стандарта</w:t>
      </w:r>
      <w:r>
        <w:rPr>
          <w:color w:themeColor="text1" w:val="000000"/>
          <w:spacing w:val="69"/>
          <w:sz w:val="28"/>
        </w:rPr>
        <w:t xml:space="preserve"> </w:t>
      </w:r>
      <w:r>
        <w:rPr>
          <w:color w:themeColor="text1" w:val="000000"/>
          <w:sz w:val="28"/>
        </w:rPr>
        <w:t>«Об</w:t>
      </w:r>
      <w:r>
        <w:rPr>
          <w:color w:themeColor="text1" w:val="000000"/>
          <w:spacing w:val="64"/>
          <w:sz w:val="28"/>
        </w:rPr>
        <w:t xml:space="preserve"> </w:t>
      </w:r>
      <w:r>
        <w:rPr>
          <w:color w:themeColor="text1" w:val="000000"/>
          <w:sz w:val="28"/>
        </w:rPr>
        <w:t>утверждении</w:t>
      </w:r>
      <w:r>
        <w:rPr>
          <w:color w:themeColor="text1" w:val="000000"/>
          <w:spacing w:val="68"/>
          <w:sz w:val="28"/>
        </w:rPr>
        <w:t xml:space="preserve"> </w:t>
      </w:r>
      <w:r>
        <w:rPr>
          <w:color w:themeColor="text1" w:val="000000"/>
          <w:sz w:val="28"/>
        </w:rPr>
        <w:t>профессионального</w:t>
      </w:r>
      <w:r>
        <w:rPr>
          <w:color w:themeColor="text1" w:val="000000"/>
          <w:spacing w:val="51"/>
          <w:sz w:val="28"/>
        </w:rPr>
        <w:t xml:space="preserve"> </w:t>
      </w:r>
      <w:r>
        <w:rPr>
          <w:color w:themeColor="text1" w:val="000000"/>
          <w:spacing w:val="-2"/>
          <w:sz w:val="28"/>
        </w:rPr>
        <w:t xml:space="preserve">стандарта </w:t>
      </w:r>
      <w:r>
        <w:rPr>
          <w:color w:themeColor="text1" w:val="000000"/>
          <w:sz w:val="28"/>
        </w:rPr>
        <w:t>«</w:t>
      </w:r>
      <w:r>
        <w:rPr>
          <w:color w:themeColor="text1" w:val="000000"/>
          <w:sz w:val="28"/>
        </w:rPr>
        <w:t>Гигиенист стоматологический</w:t>
      </w:r>
      <w:r>
        <w:rPr>
          <w:color w:themeColor="text1" w:val="000000"/>
          <w:sz w:val="28"/>
        </w:rPr>
        <w:t>»</w:t>
      </w:r>
      <w:r>
        <w:rPr>
          <w:color w:themeColor="text1" w:val="000000"/>
          <w:sz w:val="28"/>
        </w:rPr>
        <w:t>, утвержденного приказом Министерства труда и</w:t>
      </w:r>
      <w:r>
        <w:rPr>
          <w:color w:themeColor="text1" w:val="000000"/>
          <w:spacing w:val="-4"/>
          <w:sz w:val="28"/>
        </w:rPr>
        <w:t xml:space="preserve"> </w:t>
      </w:r>
      <w:r>
        <w:rPr>
          <w:color w:themeColor="text1" w:val="000000"/>
          <w:sz w:val="28"/>
        </w:rPr>
        <w:t>социальной защиты</w:t>
      </w:r>
      <w:r>
        <w:rPr>
          <w:color w:themeColor="text1" w:val="000000"/>
          <w:sz w:val="28"/>
        </w:rPr>
        <w:t xml:space="preserve"> Российской Федерации от 31</w:t>
      </w:r>
      <w:r>
        <w:rPr>
          <w:color w:themeColor="text1" w:val="000000"/>
          <w:spacing w:val="-1"/>
          <w:sz w:val="28"/>
        </w:rPr>
        <w:t xml:space="preserve"> </w:t>
      </w:r>
      <w:r>
        <w:rPr>
          <w:color w:themeColor="text1" w:val="000000"/>
          <w:sz w:val="28"/>
        </w:rPr>
        <w:t xml:space="preserve">мая 2021 года № </w:t>
      </w:r>
      <w:r>
        <w:rPr>
          <w:color w:themeColor="text1" w:val="000000"/>
          <w:spacing w:val="-4"/>
          <w:sz w:val="28"/>
        </w:rPr>
        <w:t>349н</w:t>
      </w:r>
      <w:r>
        <w:rPr>
          <w:color w:themeColor="text1" w:val="000000"/>
          <w:spacing w:val="-4"/>
          <w:sz w:val="28"/>
        </w:rPr>
        <w:t>.</w:t>
      </w:r>
    </w:p>
    <w:p w14:paraId="31000000">
      <w:pPr>
        <w:pStyle w:val="Style_1"/>
        <w:widowControl w:val="1"/>
        <w:spacing w:line="242" w:lineRule="auto"/>
        <w:ind w:firstLine="8"/>
        <w:rPr>
          <w:spacing w:val="-4"/>
          <w:sz w:val="28"/>
        </w:rPr>
      </w:pPr>
    </w:p>
    <w:tbl>
      <w:tblPr>
        <w:tblStyle w:val="Style_4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5204"/>
        <w:gridCol w:w="4370"/>
      </w:tblGrid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2000000">
            <w:pPr>
              <w:pStyle w:val="Style_1"/>
              <w:widowControl w:val="1"/>
              <w:spacing w:line="242" w:lineRule="auto"/>
              <w:ind/>
              <w:rPr>
                <w:b w:val="1"/>
                <w:sz w:val="28"/>
              </w:rPr>
            </w:pPr>
            <w:r>
              <w:rPr>
                <w:b w:val="1"/>
                <w:spacing w:val="-2"/>
                <w:sz w:val="28"/>
              </w:rPr>
              <w:t>Эксперты:</w:t>
            </w: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3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</w:p>
        </w:tc>
      </w:tr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4000000">
            <w:pPr>
              <w:pStyle w:val="Style_1"/>
              <w:widowControl w:val="1"/>
              <w:spacing w:line="242" w:lineRule="auto"/>
              <w:ind/>
              <w:jc w:val="left"/>
              <w:rPr>
                <w:color w:val="FF0000"/>
                <w:spacing w:val="-4"/>
                <w:sz w:val="28"/>
              </w:rPr>
            </w:pPr>
            <w:r>
              <w:rPr>
                <w:color w:themeColor="text1" w:val="000000"/>
                <w:sz w:val="28"/>
              </w:rPr>
              <w:t>ГБУЗ «Краевая клиническая стоматологическая поликлиника» МЗ КК, заместитель главного врача по медицинской части</w:t>
            </w: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5000000">
            <w:pPr>
              <w:pStyle w:val="Style_1"/>
              <w:widowControl w:val="1"/>
              <w:spacing w:line="242" w:lineRule="auto"/>
              <w:ind/>
              <w:rPr>
                <w:color w:val="FF0000"/>
                <w:sz w:val="28"/>
              </w:rPr>
            </w:pPr>
          </w:p>
          <w:p w14:paraId="36000000">
            <w:pPr>
              <w:pStyle w:val="Style_1"/>
              <w:widowControl w:val="1"/>
              <w:spacing w:line="242" w:lineRule="auto"/>
              <w:ind/>
              <w:rPr>
                <w:color w:val="FF0000"/>
                <w:sz w:val="28"/>
              </w:rPr>
            </w:pPr>
            <w:r>
              <w:rPr>
                <w:color w:val="FF0000"/>
                <w:sz w:val="28"/>
              </w:rPr>
              <w:t xml:space="preserve">               </w:t>
            </w:r>
            <w:r>
              <w:rPr>
                <w:color w:val="FF0000"/>
                <w:sz w:val="28"/>
              </w:rPr>
              <w:t xml:space="preserve">      </w:t>
            </w:r>
            <w:r>
              <w:rPr>
                <w:color w:val="FF0000"/>
                <w:sz w:val="28"/>
              </w:rPr>
              <w:t xml:space="preserve">           </w:t>
            </w:r>
            <w:r>
              <w:rPr>
                <w:color w:themeColor="text1" w:val="000000"/>
                <w:sz w:val="28"/>
              </w:rPr>
              <w:t>И.Е. Стефанов</w:t>
            </w:r>
          </w:p>
        </w:tc>
      </w:tr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7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</w:p>
          <w:p w14:paraId="38000000">
            <w:pPr>
              <w:pStyle w:val="Style_1"/>
              <w:widowControl w:val="1"/>
              <w:spacing w:line="242" w:lineRule="auto"/>
              <w:ind/>
              <w:jc w:val="left"/>
              <w:rPr>
                <w:sz w:val="28"/>
              </w:rPr>
            </w:pPr>
            <w:r>
              <w:rPr>
                <w:sz w:val="28"/>
              </w:rPr>
              <w:t>ГБУЗ «Краевая клиническая стоматологическая поликлиника» МЗ КК, заведующая лечебно-профилактическим отделением</w:t>
            </w:r>
          </w:p>
          <w:p w14:paraId="39000000">
            <w:pPr>
              <w:pStyle w:val="Style_1"/>
              <w:widowControl w:val="1"/>
              <w:spacing w:line="242" w:lineRule="auto"/>
              <w:ind/>
              <w:jc w:val="left"/>
              <w:rPr>
                <w:spacing w:val="-4"/>
                <w:sz w:val="28"/>
              </w:rPr>
            </w:pP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A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</w:p>
          <w:p w14:paraId="3B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</w:p>
          <w:p w14:paraId="3C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  <w:r>
              <w:rPr>
                <w:sz w:val="28"/>
              </w:rPr>
              <w:t xml:space="preserve">            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           И</w:t>
            </w:r>
            <w:r>
              <w:rPr>
                <w:sz w:val="28"/>
              </w:rPr>
              <w:t xml:space="preserve">.С. </w:t>
            </w:r>
            <w:r>
              <w:rPr>
                <w:sz w:val="28"/>
              </w:rPr>
              <w:t>Шапошникова</w:t>
            </w:r>
          </w:p>
        </w:tc>
      </w:tr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D000000">
            <w:pPr>
              <w:pStyle w:val="Style_1"/>
              <w:widowControl w:val="1"/>
              <w:spacing w:line="242" w:lineRule="auto"/>
              <w:ind/>
              <w:rPr>
                <w:b w:val="1"/>
                <w:spacing w:val="-2"/>
                <w:sz w:val="28"/>
              </w:rPr>
            </w:pPr>
            <w:r>
              <w:rPr>
                <w:b w:val="1"/>
                <w:spacing w:val="-2"/>
                <w:sz w:val="28"/>
              </w:rPr>
              <w:t>Разработчики</w:t>
            </w:r>
            <w:r>
              <w:rPr>
                <w:b w:val="1"/>
                <w:spacing w:val="6"/>
                <w:sz w:val="28"/>
              </w:rPr>
              <w:t xml:space="preserve"> </w:t>
            </w:r>
            <w:r>
              <w:rPr>
                <w:b w:val="1"/>
                <w:spacing w:val="-2"/>
                <w:sz w:val="28"/>
              </w:rPr>
              <w:t>рабочей</w:t>
            </w:r>
            <w:r>
              <w:rPr>
                <w:b w:val="1"/>
                <w:spacing w:val="6"/>
                <w:sz w:val="28"/>
              </w:rPr>
              <w:t xml:space="preserve"> </w:t>
            </w:r>
            <w:r>
              <w:rPr>
                <w:b w:val="1"/>
                <w:spacing w:val="-2"/>
                <w:sz w:val="28"/>
              </w:rPr>
              <w:t>программы:</w:t>
            </w:r>
          </w:p>
          <w:p w14:paraId="3E000000">
            <w:pPr>
              <w:pStyle w:val="Style_1"/>
              <w:widowControl w:val="1"/>
              <w:spacing w:line="242" w:lineRule="auto"/>
              <w:ind/>
              <w:rPr>
                <w:b w:val="1"/>
                <w:spacing w:val="-4"/>
                <w:sz w:val="28"/>
              </w:rPr>
            </w:pP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3F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</w:p>
        </w:tc>
      </w:tr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0000000">
            <w:pPr>
              <w:pStyle w:val="Style_1"/>
              <w:widowControl w:val="1"/>
              <w:spacing w:line="242" w:lineRule="auto"/>
              <w:ind/>
              <w:rPr>
                <w:color w:themeColor="text1" w:val="000000"/>
                <w:spacing w:val="-2"/>
                <w:sz w:val="28"/>
              </w:rPr>
            </w:pPr>
            <w:r>
              <w:rPr>
                <w:color w:themeColor="text1" w:val="000000"/>
                <w:spacing w:val="-2"/>
                <w:sz w:val="28"/>
              </w:rPr>
              <w:t xml:space="preserve">Руководитель образовательной программы среднего профессионального образования на по направлению 31.02.06 Стоматология профилактическая </w:t>
            </w:r>
          </w:p>
          <w:p w14:paraId="41000000">
            <w:pPr>
              <w:pStyle w:val="Style_1"/>
              <w:widowControl w:val="1"/>
              <w:spacing w:line="242" w:lineRule="auto"/>
              <w:ind/>
              <w:rPr>
                <w:color w:val="FF0000"/>
                <w:spacing w:val="-4"/>
                <w:sz w:val="28"/>
              </w:rPr>
            </w:pP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2000000">
            <w:pPr>
              <w:pStyle w:val="Style_1"/>
              <w:widowControl w:val="1"/>
              <w:spacing w:line="242" w:lineRule="auto"/>
              <w:ind/>
              <w:rPr>
                <w:color w:themeColor="text1" w:val="000000"/>
                <w:spacing w:val="-4"/>
                <w:sz w:val="28"/>
              </w:rPr>
            </w:pPr>
            <w:r>
              <w:rPr>
                <w:color w:val="FF0000"/>
                <w:spacing w:val="-4"/>
                <w:sz w:val="28"/>
              </w:rPr>
              <w:t xml:space="preserve"> </w:t>
            </w:r>
            <w:r>
              <w:rPr>
                <w:color w:val="FF0000"/>
                <w:spacing w:val="-4"/>
                <w:sz w:val="28"/>
              </w:rPr>
              <w:t xml:space="preserve">                           </w:t>
            </w:r>
            <w:r>
              <w:rPr>
                <w:color w:val="FF0000"/>
                <w:spacing w:val="-4"/>
                <w:sz w:val="28"/>
              </w:rPr>
              <w:t xml:space="preserve">     </w:t>
            </w:r>
            <w:r>
              <w:rPr>
                <w:color w:val="FF0000"/>
                <w:spacing w:val="-4"/>
                <w:sz w:val="28"/>
              </w:rPr>
              <w:t xml:space="preserve">  </w:t>
            </w:r>
            <w:r>
              <w:rPr>
                <w:color w:themeColor="text1" w:val="000000"/>
                <w:spacing w:val="-4"/>
                <w:sz w:val="28"/>
              </w:rPr>
              <w:t>А.В.</w:t>
            </w:r>
            <w:r>
              <w:rPr>
                <w:color w:themeColor="text1" w:val="000000"/>
                <w:spacing w:val="-4"/>
                <w:sz w:val="28"/>
              </w:rPr>
              <w:t>Арутюнов</w:t>
            </w:r>
          </w:p>
          <w:p w14:paraId="43000000">
            <w:pPr>
              <w:pStyle w:val="Style_1"/>
              <w:widowControl w:val="1"/>
              <w:spacing w:line="242" w:lineRule="auto"/>
              <w:ind/>
              <w:rPr>
                <w:color w:val="FF0000"/>
                <w:spacing w:val="-4"/>
                <w:sz w:val="28"/>
              </w:rPr>
            </w:pPr>
            <w:r>
              <w:rPr>
                <w:rFonts w:ascii="Times New Roman CYR" w:hAnsi="Times New Roman CYR"/>
                <w:color w:themeColor="text1" w:val="000000"/>
                <w:sz w:val="28"/>
              </w:rPr>
              <w:t xml:space="preserve">                               </w:t>
            </w:r>
          </w:p>
        </w:tc>
      </w:tr>
      <w:tr>
        <w:trPr>
          <w:trHeight w:hRule="atLeast" w:val="605"/>
        </w:trP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4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  <w:r>
              <w:rPr>
                <w:spacing w:val="-2"/>
                <w:sz w:val="28"/>
              </w:rPr>
              <w:t xml:space="preserve">Директор </w:t>
            </w:r>
            <w:r>
              <w:rPr>
                <w:rFonts w:ascii="Times New Roman CYR" w:hAnsi="Times New Roman CYR"/>
                <w:sz w:val="28"/>
              </w:rPr>
              <w:t>Института среднего профессионального образования</w:t>
            </w: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5000000">
            <w:pPr>
              <w:pStyle w:val="Style_1"/>
              <w:widowControl w:val="1"/>
              <w:spacing w:line="242" w:lineRule="auto"/>
              <w:ind/>
              <w:rPr>
                <w:rFonts w:ascii="Times New Roman CYR" w:hAnsi="Times New Roman CYR"/>
                <w:sz w:val="28"/>
              </w:rPr>
            </w:pPr>
          </w:p>
          <w:p w14:paraId="46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  <w:r>
              <w:rPr>
                <w:rFonts w:ascii="Times New Roman CYR" w:hAnsi="Times New Roman CYR"/>
                <w:sz w:val="28"/>
              </w:rPr>
              <w:t xml:space="preserve">             </w:t>
            </w:r>
            <w:r>
              <w:rPr>
                <w:rFonts w:ascii="Times New Roman CYR" w:hAnsi="Times New Roman CYR"/>
                <w:sz w:val="28"/>
              </w:rPr>
              <w:t xml:space="preserve">              </w:t>
            </w:r>
            <w:r>
              <w:rPr>
                <w:rFonts w:ascii="Times New Roman CYR" w:hAnsi="Times New Roman CYR"/>
                <w:sz w:val="28"/>
              </w:rPr>
              <w:t xml:space="preserve">          </w:t>
            </w:r>
            <w:r>
              <w:rPr>
                <w:rFonts w:ascii="Times New Roman CYR" w:hAnsi="Times New Roman CYR"/>
                <w:sz w:val="28"/>
              </w:rPr>
              <w:t>Е.А.</w:t>
            </w:r>
            <w:r>
              <w:rPr>
                <w:rFonts w:ascii="Times New Roman CYR" w:hAnsi="Times New Roman CYR"/>
                <w:sz w:val="28"/>
              </w:rPr>
              <w:t>Чабанец</w:t>
            </w:r>
            <w:r>
              <w:rPr>
                <w:spacing w:val="-4"/>
                <w:sz w:val="28"/>
              </w:rPr>
              <w:t xml:space="preserve">                </w:t>
            </w:r>
            <w:r>
              <w:rPr>
                <w:spacing w:val="-4"/>
                <w:sz w:val="28"/>
              </w:rPr>
              <w:t xml:space="preserve">  </w:t>
            </w:r>
          </w:p>
        </w:tc>
      </w:tr>
      <w:tr>
        <w:tc>
          <w:tcPr>
            <w:tcW w:type="dxa" w:w="520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7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</w:p>
          <w:p w14:paraId="48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  <w:r>
              <w:rPr>
                <w:sz w:val="28"/>
              </w:rPr>
              <w:t xml:space="preserve">Секретарь ГИА, </w:t>
            </w:r>
            <w:r>
              <w:rPr>
                <w:sz w:val="28"/>
              </w:rPr>
              <w:t>ассистент кафедры стоматологии общей практики</w:t>
            </w:r>
          </w:p>
          <w:p w14:paraId="49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</w:p>
        </w:tc>
        <w:tc>
          <w:tcPr>
            <w:tcW w:type="dxa" w:w="4370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4A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</w:p>
          <w:p w14:paraId="4B000000">
            <w:pPr>
              <w:pStyle w:val="Style_1"/>
              <w:widowControl w:val="1"/>
              <w:spacing w:line="242" w:lineRule="auto"/>
              <w:ind/>
              <w:rPr>
                <w:sz w:val="28"/>
              </w:rPr>
            </w:pPr>
            <w:r>
              <w:rPr>
                <w:sz w:val="28"/>
              </w:rPr>
              <w:t xml:space="preserve">                              </w:t>
            </w:r>
          </w:p>
          <w:p w14:paraId="4C000000">
            <w:pPr>
              <w:pStyle w:val="Style_1"/>
              <w:widowControl w:val="1"/>
              <w:spacing w:line="242" w:lineRule="auto"/>
              <w:ind/>
              <w:rPr>
                <w:spacing w:val="-4"/>
                <w:sz w:val="28"/>
              </w:rPr>
            </w:pPr>
            <w:r>
              <w:rPr>
                <w:sz w:val="28"/>
              </w:rPr>
              <w:t xml:space="preserve">                            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>М.М.</w:t>
            </w:r>
            <w:r>
              <w:rPr>
                <w:sz w:val="28"/>
              </w:rPr>
              <w:t>Совмиз</w:t>
            </w:r>
          </w:p>
        </w:tc>
      </w:tr>
    </w:tbl>
    <w:p w14:paraId="4D000000">
      <w:pPr>
        <w:pStyle w:val="Style_1"/>
        <w:widowControl w:val="1"/>
        <w:spacing w:line="242" w:lineRule="auto"/>
        <w:ind w:firstLine="8"/>
        <w:rPr>
          <w:spacing w:val="-4"/>
          <w:sz w:val="28"/>
        </w:rPr>
      </w:pPr>
    </w:p>
    <w:p w14:paraId="4E000000">
      <w:pPr>
        <w:pStyle w:val="Style_1"/>
        <w:widowControl w:val="1"/>
        <w:spacing w:line="242" w:lineRule="auto"/>
        <w:ind w:firstLine="8"/>
        <w:rPr>
          <w:spacing w:val="-4"/>
          <w:sz w:val="28"/>
        </w:rPr>
      </w:pPr>
    </w:p>
    <w:p w14:paraId="4F000000">
      <w:pPr>
        <w:pStyle w:val="Style_5"/>
        <w:widowControl w:val="1"/>
        <w:spacing w:line="275" w:lineRule="exact"/>
        <w:ind w:left="0"/>
        <w:jc w:val="left"/>
        <w:rPr>
          <w:spacing w:val="-2"/>
          <w:sz w:val="28"/>
        </w:rPr>
      </w:pPr>
    </w:p>
    <w:p w14:paraId="50000000">
      <w:pPr>
        <w:pStyle w:val="Style_1"/>
        <w:widowControl w:val="1"/>
        <w:ind/>
        <w:jc w:val="left"/>
        <w:rPr>
          <w:sz w:val="28"/>
        </w:rPr>
      </w:pPr>
    </w:p>
    <w:p w14:paraId="51000000">
      <w:pPr>
        <w:rPr>
          <w:sz w:val="28"/>
        </w:rPr>
      </w:pPr>
    </w:p>
    <w:p w14:paraId="52000000">
      <w:pPr>
        <w:pStyle w:val="Style_1"/>
        <w:widowControl w:val="1"/>
        <w:ind/>
        <w:jc w:val="left"/>
        <w:rPr>
          <w:sz w:val="28"/>
        </w:rPr>
      </w:pPr>
    </w:p>
    <w:p w14:paraId="53000000">
      <w:pPr>
        <w:pStyle w:val="Style_1"/>
        <w:widowControl w:val="1"/>
        <w:ind/>
        <w:jc w:val="left"/>
        <w:rPr>
          <w:sz w:val="28"/>
        </w:rPr>
      </w:pPr>
    </w:p>
    <w:p w14:paraId="54000000">
      <w:pPr>
        <w:pStyle w:val="Style_1"/>
        <w:widowControl w:val="1"/>
        <w:ind/>
        <w:jc w:val="left"/>
        <w:rPr>
          <w:sz w:val="28"/>
        </w:rPr>
      </w:pPr>
    </w:p>
    <w:p w14:paraId="55000000">
      <w:pPr>
        <w:widowControl w:val="1"/>
        <w:ind w:firstLine="708"/>
        <w:jc w:val="both"/>
        <w:rPr>
          <w:sz w:val="28"/>
        </w:rPr>
      </w:pPr>
    </w:p>
    <w:p w14:paraId="56000000">
      <w:pPr>
        <w:widowControl w:val="1"/>
        <w:ind w:firstLine="708"/>
        <w:jc w:val="both"/>
        <w:rPr>
          <w:sz w:val="28"/>
        </w:rPr>
      </w:pPr>
    </w:p>
    <w:p w14:paraId="57000000">
      <w:pPr>
        <w:sectPr>
          <w:footerReference r:id="rId1" w:type="default"/>
          <w:type w:val="continuous"/>
          <w:pgSz w:h="16840" w:orient="portrait" w:w="11910"/>
          <w:pgMar w:bottom="1134" w:footer="1029" w:gutter="0" w:header="0" w:left="1701" w:right="851" w:top="1134"/>
        </w:sectPr>
      </w:pPr>
    </w:p>
    <w:p w14:paraId="58000000">
      <w:pPr>
        <w:pStyle w:val="Style_5"/>
        <w:widowControl w:val="1"/>
        <w:ind w:firstLine="567" w:left="0"/>
        <w:rPr>
          <w:sz w:val="28"/>
        </w:rPr>
      </w:pPr>
      <w:r>
        <w:rPr>
          <w:spacing w:val="-2"/>
          <w:sz w:val="28"/>
        </w:rPr>
        <w:t>I.</w:t>
      </w:r>
      <w:r>
        <w:rPr>
          <w:spacing w:val="-2"/>
          <w:sz w:val="28"/>
        </w:rPr>
        <w:t>Общи</w:t>
      </w:r>
      <w:r>
        <w:rPr>
          <w:spacing w:val="-2"/>
          <w:sz w:val="28"/>
        </w:rPr>
        <w:t>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положени</w:t>
      </w:r>
      <w:r>
        <w:rPr>
          <w:spacing w:val="-2"/>
          <w:sz w:val="28"/>
        </w:rPr>
        <w:t>я</w:t>
      </w:r>
    </w:p>
    <w:p w14:paraId="59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Настоящая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государственной итоговой аттестации</w:t>
      </w:r>
      <w:r>
        <w:rPr>
          <w:spacing w:val="40"/>
          <w:sz w:val="28"/>
        </w:rPr>
        <w:t xml:space="preserve"> </w:t>
      </w:r>
      <w:r>
        <w:rPr>
          <w:sz w:val="28"/>
        </w:rPr>
        <w:t>(ГИА) вып</w:t>
      </w:r>
      <w:r>
        <w:rPr>
          <w:sz w:val="28"/>
        </w:rPr>
        <w:t xml:space="preserve">ускников </w:t>
      </w:r>
      <w:r>
        <w:rPr>
          <w:color w:val="232323"/>
          <w:sz w:val="28"/>
        </w:rPr>
        <w:t xml:space="preserve">по </w:t>
      </w:r>
      <w:r>
        <w:rPr>
          <w:sz w:val="28"/>
        </w:rPr>
        <w:t xml:space="preserve">специальности </w:t>
      </w:r>
      <w:r>
        <w:rPr>
          <w:color w:themeColor="text1" w:val="000000"/>
          <w:sz w:val="28"/>
        </w:rPr>
        <w:t>31.02.06 «Стоматология профилактическая»</w:t>
      </w:r>
      <w:r>
        <w:rPr>
          <w:color w:themeColor="text1" w:val="000000"/>
          <w:sz w:val="28"/>
        </w:rPr>
        <w:t xml:space="preserve"> </w:t>
      </w:r>
      <w:r>
        <w:rPr>
          <w:sz w:val="28"/>
        </w:rPr>
        <w:t xml:space="preserve">(уровень CПO) составлена </w:t>
      </w:r>
      <w:r>
        <w:rPr>
          <w:color w:val="313131"/>
          <w:sz w:val="28"/>
        </w:rPr>
        <w:t xml:space="preserve">в </w:t>
      </w:r>
      <w:r>
        <w:rPr>
          <w:sz w:val="28"/>
        </w:rPr>
        <w:t>соответствии</w:t>
      </w:r>
      <w:r>
        <w:rPr>
          <w:sz w:val="28"/>
        </w:rPr>
        <w:t xml:space="preserve"> с приказом </w:t>
      </w:r>
      <w:r>
        <w:rPr>
          <w:sz w:val="28"/>
        </w:rPr>
        <w:t>Минпросвещения</w:t>
      </w:r>
      <w:r>
        <w:rPr>
          <w:sz w:val="28"/>
        </w:rPr>
        <w:t xml:space="preserve"> России от 08 ноября 2021 года № </w:t>
      </w:r>
      <w:r>
        <w:rPr>
          <w:color w:val="0E0E0E"/>
          <w:sz w:val="28"/>
        </w:rPr>
        <w:t xml:space="preserve">800 </w:t>
      </w:r>
      <w:r>
        <w:rPr>
          <w:sz w:val="28"/>
        </w:rPr>
        <w:t xml:space="preserve">«Об </w:t>
      </w:r>
      <w:r>
        <w:rPr>
          <w:sz w:val="28"/>
        </w:rPr>
        <w:t>утверждении</w:t>
      </w:r>
      <w:r>
        <w:rPr>
          <w:sz w:val="28"/>
        </w:rPr>
        <w:t xml:space="preserve"> </w:t>
      </w:r>
      <w:r>
        <w:rPr>
          <w:sz w:val="28"/>
        </w:rPr>
        <w:t>порядка проведения государственной итоговой атт</w:t>
      </w:r>
      <w:r>
        <w:rPr>
          <w:sz w:val="28"/>
        </w:rPr>
        <w:t xml:space="preserve">естации </w:t>
      </w:r>
      <w:r>
        <w:rPr>
          <w:color w:val="131313"/>
          <w:sz w:val="28"/>
        </w:rPr>
        <w:t xml:space="preserve">по </w:t>
      </w:r>
      <w:r>
        <w:rPr>
          <w:sz w:val="28"/>
        </w:rPr>
        <w:t>образовательным п</w:t>
      </w:r>
      <w:r>
        <w:rPr>
          <w:sz w:val="28"/>
        </w:rPr>
        <w:t>рограммам среднего профессиональн</w:t>
      </w:r>
      <w:r>
        <w:rPr>
          <w:sz w:val="28"/>
        </w:rPr>
        <w:t>ого образования».</w:t>
      </w:r>
    </w:p>
    <w:p w14:paraId="5A000000">
      <w:pPr>
        <w:pStyle w:val="Style_1"/>
        <w:widowControl w:val="1"/>
        <w:ind w:firstLine="567"/>
        <w:rPr>
          <w:sz w:val="28"/>
        </w:rPr>
      </w:pPr>
      <w:r>
        <w:rPr>
          <w:color w:val="181818"/>
          <w:sz w:val="28"/>
        </w:rPr>
        <w:t xml:space="preserve">ГИА </w:t>
      </w:r>
      <w:r>
        <w:rPr>
          <w:sz w:val="28"/>
        </w:rPr>
        <w:t xml:space="preserve">проводится государственной экзаменационной комиссией (ГЭК) </w:t>
      </w:r>
      <w:r>
        <w:rPr>
          <w:color w:val="282828"/>
          <w:sz w:val="28"/>
        </w:rPr>
        <w:t xml:space="preserve">в </w:t>
      </w:r>
      <w:r>
        <w:rPr>
          <w:sz w:val="28"/>
        </w:rPr>
        <w:t>целях определения соответстви</w:t>
      </w:r>
      <w:r>
        <w:rPr>
          <w:sz w:val="28"/>
        </w:rPr>
        <w:t>я</w:t>
      </w:r>
      <w:r>
        <w:rPr>
          <w:sz w:val="28"/>
        </w:rPr>
        <w:t xml:space="preserve"> результатов освоения обучающимися основных образовательных</w:t>
      </w:r>
      <w:r>
        <w:rPr>
          <w:sz w:val="28"/>
        </w:rPr>
        <w:t xml:space="preserve"> программ соответствующим требованиям федерального</w:t>
      </w:r>
      <w:r>
        <w:rPr>
          <w:sz w:val="28"/>
        </w:rPr>
        <w:t xml:space="preserve"> государственного образовательного стан</w:t>
      </w:r>
      <w:r>
        <w:rPr>
          <w:sz w:val="28"/>
        </w:rPr>
        <w:t>дарта среднего профессионального образования.</w:t>
      </w:r>
    </w:p>
    <w:p w14:paraId="5B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Цель ГИА заключ</w:t>
      </w:r>
      <w:r>
        <w:rPr>
          <w:sz w:val="28"/>
        </w:rPr>
        <w:t xml:space="preserve">ается </w:t>
      </w:r>
      <w:r>
        <w:rPr>
          <w:color w:val="313131"/>
          <w:sz w:val="28"/>
        </w:rPr>
        <w:t xml:space="preserve">в </w:t>
      </w:r>
      <w:r>
        <w:rPr>
          <w:sz w:val="28"/>
        </w:rPr>
        <w:t>определении соответствии уровня</w:t>
      </w:r>
      <w:r>
        <w:rPr>
          <w:sz w:val="28"/>
        </w:rPr>
        <w:t xml:space="preserve"> профессиональной подготовки выпускника требован</w:t>
      </w:r>
      <w:r>
        <w:rPr>
          <w:sz w:val="28"/>
        </w:rPr>
        <w:t xml:space="preserve">иям Федерального государственного образовательного стандарта среднего профессионального образования </w:t>
      </w:r>
      <w:r>
        <w:rPr>
          <w:color w:val="151515"/>
          <w:sz w:val="28"/>
        </w:rPr>
        <w:t xml:space="preserve">по </w:t>
      </w:r>
      <w:r>
        <w:rPr>
          <w:sz w:val="28"/>
        </w:rPr>
        <w:t>специально</w:t>
      </w:r>
      <w:r>
        <w:rPr>
          <w:sz w:val="28"/>
        </w:rPr>
        <w:t xml:space="preserve">сти </w:t>
      </w:r>
      <w:r>
        <w:rPr>
          <w:color w:themeColor="text1" w:val="000000"/>
          <w:sz w:val="28"/>
        </w:rPr>
        <w:t>«</w:t>
      </w:r>
      <w:r>
        <w:rPr>
          <w:color w:themeColor="text1" w:val="000000"/>
          <w:sz w:val="28"/>
        </w:rPr>
        <w:t>Стоматология профилактическая</w:t>
      </w:r>
      <w:r>
        <w:rPr>
          <w:color w:themeColor="text1" w:val="000000"/>
          <w:sz w:val="28"/>
        </w:rPr>
        <w:t>»</w:t>
      </w:r>
      <w:r>
        <w:rPr>
          <w:sz w:val="28"/>
        </w:rPr>
        <w:t xml:space="preserve"> с последующей выдачей диплом</w:t>
      </w:r>
      <w:r>
        <w:rPr>
          <w:sz w:val="28"/>
        </w:rPr>
        <w:t>а государственного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образца </w:t>
      </w:r>
      <w:r>
        <w:rPr>
          <w:color w:val="1F1F1F"/>
          <w:sz w:val="28"/>
        </w:rPr>
        <w:t>о</w:t>
      </w:r>
      <w:r>
        <w:rPr>
          <w:color w:val="1F1F1F"/>
          <w:spacing w:val="-4"/>
          <w:sz w:val="28"/>
        </w:rPr>
        <w:t xml:space="preserve"> </w:t>
      </w:r>
      <w:r>
        <w:rPr>
          <w:color w:val="1F1F1F"/>
          <w:spacing w:val="-4"/>
          <w:sz w:val="28"/>
        </w:rPr>
        <w:t xml:space="preserve">среднем профессиональном </w:t>
      </w:r>
      <w:r>
        <w:rPr>
          <w:sz w:val="28"/>
        </w:rPr>
        <w:t>образовании</w:t>
      </w:r>
      <w:r>
        <w:rPr>
          <w:sz w:val="28"/>
        </w:rPr>
        <w:t>.</w:t>
      </w:r>
    </w:p>
    <w:p w14:paraId="5C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Задачей ГИ</w:t>
      </w:r>
      <w:r>
        <w:rPr>
          <w:sz w:val="28"/>
        </w:rPr>
        <w:t>А является оценка сформированнос</w:t>
      </w:r>
      <w:r>
        <w:rPr>
          <w:sz w:val="28"/>
        </w:rPr>
        <w:t>ти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компетенций, к</w:t>
      </w:r>
      <w:r>
        <w:rPr>
          <w:sz w:val="28"/>
        </w:rPr>
        <w:t>оторыми должны овладеть обучающи</w:t>
      </w:r>
      <w:r>
        <w:rPr>
          <w:sz w:val="28"/>
        </w:rPr>
        <w:t xml:space="preserve">еся </w:t>
      </w:r>
      <w:r>
        <w:rPr>
          <w:color w:val="0F0F0F"/>
          <w:sz w:val="28"/>
        </w:rPr>
        <w:t xml:space="preserve">в </w:t>
      </w:r>
      <w:r>
        <w:rPr>
          <w:sz w:val="28"/>
        </w:rPr>
        <w:t>результате освоен</w:t>
      </w:r>
      <w:r>
        <w:rPr>
          <w:sz w:val="28"/>
        </w:rPr>
        <w:t>ия основной образовательной программы среднего профессионального образования.</w:t>
      </w:r>
    </w:p>
    <w:p w14:paraId="5D000000">
      <w:pPr>
        <w:pStyle w:val="Style_1"/>
        <w:widowControl w:val="1"/>
        <w:ind w:firstLine="567"/>
        <w:rPr>
          <w:sz w:val="28"/>
        </w:rPr>
      </w:pPr>
      <w:r>
        <w:rPr>
          <w:color w:val="212121"/>
          <w:sz w:val="28"/>
        </w:rPr>
        <w:t xml:space="preserve">К </w:t>
      </w:r>
      <w:r>
        <w:rPr>
          <w:sz w:val="28"/>
        </w:rPr>
        <w:t>ГИА доп</w:t>
      </w:r>
      <w:r>
        <w:rPr>
          <w:sz w:val="28"/>
        </w:rPr>
        <w:t>ускаются выпускники, завершившие в полном объеме курс теоретического обучени</w:t>
      </w:r>
      <w:r>
        <w:rPr>
          <w:sz w:val="28"/>
        </w:rPr>
        <w:t>я основной образовательно</w:t>
      </w:r>
      <w:r>
        <w:rPr>
          <w:sz w:val="28"/>
        </w:rPr>
        <w:t>й программы</w:t>
      </w:r>
      <w:r>
        <w:rPr>
          <w:sz w:val="28"/>
        </w:rPr>
        <w:t>, не имеющие академич</w:t>
      </w:r>
      <w:r>
        <w:rPr>
          <w:sz w:val="28"/>
        </w:rPr>
        <w:t>еск</w:t>
      </w:r>
      <w:r>
        <w:rPr>
          <w:sz w:val="28"/>
        </w:rPr>
        <w:t>ой задолженности, успешно сдавши</w:t>
      </w:r>
      <w:r>
        <w:rPr>
          <w:sz w:val="28"/>
        </w:rPr>
        <w:t>е вс</w:t>
      </w:r>
      <w:r>
        <w:rPr>
          <w:sz w:val="28"/>
        </w:rPr>
        <w:t>е предшествующие аттестационные испыт</w:t>
      </w:r>
      <w:r>
        <w:rPr>
          <w:sz w:val="28"/>
        </w:rPr>
        <w:t>ания, предусмотренные учебным планом.</w:t>
      </w:r>
    </w:p>
    <w:p w14:paraId="5E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 xml:space="preserve">При условии успешного прохождения ГИА, выпускнику по специальности </w:t>
      </w:r>
      <w:r>
        <w:rPr>
          <w:sz w:val="28"/>
        </w:rPr>
        <w:t xml:space="preserve">31.02.06 </w:t>
      </w:r>
      <w:r>
        <w:rPr>
          <w:sz w:val="28"/>
        </w:rPr>
        <w:t>«</w:t>
      </w:r>
      <w:r>
        <w:rPr>
          <w:sz w:val="28"/>
        </w:rPr>
        <w:t>Стоматология профилактическая</w:t>
      </w:r>
      <w:r>
        <w:rPr>
          <w:sz w:val="28"/>
        </w:rPr>
        <w:t>»</w:t>
      </w:r>
      <w:r>
        <w:rPr>
          <w:sz w:val="28"/>
        </w:rPr>
        <w:t xml:space="preserve"> присваивается квалификация </w:t>
      </w:r>
      <w:r>
        <w:rPr>
          <w:color w:themeColor="text1" w:val="000000"/>
          <w:sz w:val="28"/>
        </w:rPr>
        <w:t>«</w:t>
      </w:r>
      <w:r>
        <w:rPr>
          <w:color w:themeColor="text1" w:val="000000"/>
          <w:sz w:val="28"/>
        </w:rPr>
        <w:t>Гигиенист стоматологический</w:t>
      </w:r>
      <w:r>
        <w:rPr>
          <w:color w:themeColor="text1" w:val="000000"/>
          <w:sz w:val="28"/>
        </w:rPr>
        <w:t xml:space="preserve">» </w:t>
      </w:r>
      <w:r>
        <w:rPr>
          <w:color w:val="161616"/>
          <w:sz w:val="28"/>
        </w:rPr>
        <w:t xml:space="preserve">и </w:t>
      </w:r>
      <w:r>
        <w:rPr>
          <w:sz w:val="28"/>
        </w:rPr>
        <w:t>выдаетс</w:t>
      </w:r>
      <w:r>
        <w:rPr>
          <w:sz w:val="28"/>
        </w:rPr>
        <w:t>я диплом о среднем профессиональном образован</w:t>
      </w:r>
      <w:r>
        <w:rPr>
          <w:sz w:val="28"/>
        </w:rPr>
        <w:t>ии.</w:t>
      </w:r>
    </w:p>
    <w:p w14:paraId="5F000000">
      <w:pPr>
        <w:pStyle w:val="Style_5"/>
        <w:widowControl w:val="1"/>
        <w:ind w:firstLine="567" w:left="0"/>
        <w:rPr>
          <w:sz w:val="28"/>
        </w:rPr>
      </w:pPr>
      <w:r>
        <w:rPr>
          <w:sz w:val="28"/>
        </w:rPr>
        <w:t>II.</w:t>
      </w:r>
      <w:r>
        <w:rPr>
          <w:spacing w:val="-10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9"/>
          <w:sz w:val="28"/>
        </w:rPr>
        <w:t xml:space="preserve"> </w:t>
      </w:r>
      <w:r>
        <w:rPr>
          <w:color w:val="212121"/>
          <w:sz w:val="28"/>
        </w:rPr>
        <w:t>и</w:t>
      </w:r>
      <w:r>
        <w:rPr>
          <w:b w:val="0"/>
          <w:color w:val="212121"/>
          <w:spacing w:val="-7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аттест</w:t>
      </w:r>
      <w:r>
        <w:rPr>
          <w:spacing w:val="-2"/>
          <w:sz w:val="28"/>
        </w:rPr>
        <w:t>ац</w:t>
      </w:r>
      <w:r>
        <w:rPr>
          <w:spacing w:val="-2"/>
          <w:sz w:val="28"/>
        </w:rPr>
        <w:t>ии</w:t>
      </w:r>
    </w:p>
    <w:p w14:paraId="60000000">
      <w:pPr>
        <w:pStyle w:val="Style_1"/>
        <w:widowControl w:val="1"/>
        <w:ind w:firstLine="567"/>
        <w:rPr>
          <w:sz w:val="28"/>
        </w:rPr>
      </w:pPr>
      <w:r>
        <w:rPr>
          <w:color w:val="282828"/>
          <w:sz w:val="28"/>
        </w:rPr>
        <w:t xml:space="preserve">В </w:t>
      </w:r>
      <w:r>
        <w:rPr>
          <w:sz w:val="28"/>
        </w:rPr>
        <w:t xml:space="preserve">соответствии с ФГОС CПO по специальности </w:t>
      </w:r>
      <w:r>
        <w:rPr>
          <w:sz w:val="28"/>
        </w:rPr>
        <w:t xml:space="preserve">31.02.06 </w:t>
      </w:r>
      <w:r>
        <w:rPr>
          <w:sz w:val="28"/>
        </w:rPr>
        <w:t>«</w:t>
      </w:r>
      <w:r>
        <w:rPr>
          <w:sz w:val="28"/>
        </w:rPr>
        <w:t>Стоматология профилактическая</w:t>
      </w:r>
      <w:r>
        <w:rPr>
          <w:sz w:val="28"/>
        </w:rPr>
        <w:t>»</w:t>
      </w:r>
      <w:r>
        <w:rPr>
          <w:sz w:val="28"/>
        </w:rPr>
        <w:t xml:space="preserve">, </w:t>
      </w:r>
      <w:r>
        <w:rPr>
          <w:color w:val="1D1D1D"/>
          <w:sz w:val="28"/>
        </w:rPr>
        <w:t xml:space="preserve">ГИА </w:t>
      </w:r>
      <w:r>
        <w:rPr>
          <w:sz w:val="28"/>
        </w:rPr>
        <w:t>по образовательн</w:t>
      </w:r>
      <w:r>
        <w:rPr>
          <w:sz w:val="28"/>
        </w:rPr>
        <w:t>ой</w:t>
      </w:r>
      <w:r>
        <w:rPr>
          <w:sz w:val="28"/>
        </w:rPr>
        <w:t xml:space="preserve"> </w:t>
      </w:r>
      <w:r>
        <w:rPr>
          <w:sz w:val="28"/>
        </w:rPr>
        <w:t xml:space="preserve">программе проводится в форме государственного экзамена. Государственный экзамен, по своему содержанию, реализуется </w:t>
      </w:r>
      <w:r>
        <w:rPr>
          <w:color w:val="1F1F1F"/>
          <w:sz w:val="28"/>
        </w:rPr>
        <w:t xml:space="preserve">в </w:t>
      </w:r>
      <w:r>
        <w:rPr>
          <w:sz w:val="28"/>
        </w:rPr>
        <w:t>ви</w:t>
      </w:r>
      <w:r>
        <w:rPr>
          <w:sz w:val="28"/>
        </w:rPr>
        <w:t xml:space="preserve">де междисциплинарного экзамена </w:t>
      </w:r>
      <w:r>
        <w:rPr>
          <w:color w:val="0F0F0F"/>
          <w:sz w:val="28"/>
        </w:rPr>
        <w:t xml:space="preserve">по </w:t>
      </w:r>
      <w:r>
        <w:rPr>
          <w:sz w:val="28"/>
        </w:rPr>
        <w:t>специальности</w:t>
      </w:r>
      <w:r>
        <w:rPr>
          <w:sz w:val="28"/>
        </w:rPr>
        <w:t>, в кот</w:t>
      </w:r>
      <w:r>
        <w:rPr>
          <w:sz w:val="28"/>
        </w:rPr>
        <w:t>ором ответ на задание требует зн</w:t>
      </w:r>
      <w:r>
        <w:rPr>
          <w:sz w:val="28"/>
        </w:rPr>
        <w:t>аний из различ</w:t>
      </w:r>
      <w:r>
        <w:rPr>
          <w:sz w:val="28"/>
        </w:rPr>
        <w:t xml:space="preserve">ных дисциплин. </w:t>
      </w:r>
    </w:p>
    <w:p w14:paraId="61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Междис</w:t>
      </w:r>
      <w:r>
        <w:rPr>
          <w:sz w:val="28"/>
        </w:rPr>
        <w:t>ц</w:t>
      </w:r>
      <w:r>
        <w:rPr>
          <w:sz w:val="28"/>
        </w:rPr>
        <w:t>ип</w:t>
      </w:r>
      <w:r>
        <w:rPr>
          <w:sz w:val="28"/>
        </w:rPr>
        <w:t>л</w:t>
      </w:r>
      <w:r>
        <w:rPr>
          <w:sz w:val="28"/>
        </w:rPr>
        <w:t>и</w:t>
      </w:r>
      <w:r>
        <w:rPr>
          <w:sz w:val="28"/>
        </w:rPr>
        <w:t>нарн</w:t>
      </w:r>
      <w:r>
        <w:rPr>
          <w:sz w:val="28"/>
        </w:rPr>
        <w:t>ый</w:t>
      </w:r>
      <w:r>
        <w:rPr>
          <w:sz w:val="28"/>
        </w:rPr>
        <w:t xml:space="preserve"> государственный </w:t>
      </w:r>
      <w:r>
        <w:rPr>
          <w:sz w:val="28"/>
        </w:rPr>
        <w:t xml:space="preserve">экзамен </w:t>
      </w:r>
      <w:r>
        <w:rPr>
          <w:color w:val="161616"/>
          <w:sz w:val="28"/>
        </w:rPr>
        <w:t xml:space="preserve">по </w:t>
      </w:r>
      <w:r>
        <w:rPr>
          <w:sz w:val="28"/>
        </w:rPr>
        <w:t>специальности оценивает</w:t>
      </w:r>
      <w:r>
        <w:rPr>
          <w:sz w:val="28"/>
        </w:rPr>
        <w:t>, наряду с ур</w:t>
      </w:r>
      <w:r>
        <w:rPr>
          <w:sz w:val="28"/>
        </w:rPr>
        <w:t>овнем усвоения содержания отдель</w:t>
      </w:r>
      <w:r>
        <w:rPr>
          <w:sz w:val="28"/>
        </w:rPr>
        <w:t>н</w:t>
      </w:r>
      <w:r>
        <w:rPr>
          <w:sz w:val="28"/>
        </w:rPr>
        <w:t>ых</w:t>
      </w:r>
      <w:r>
        <w:rPr>
          <w:sz w:val="28"/>
        </w:rPr>
        <w:t xml:space="preserve"> профильн</w:t>
      </w:r>
      <w:r>
        <w:rPr>
          <w:sz w:val="28"/>
        </w:rPr>
        <w:t>ых</w:t>
      </w:r>
      <w:r>
        <w:rPr>
          <w:sz w:val="28"/>
        </w:rPr>
        <w:t xml:space="preserve"> дисциплин, также </w:t>
      </w:r>
      <w:r>
        <w:rPr>
          <w:sz w:val="28"/>
        </w:rPr>
        <w:t xml:space="preserve">и </w:t>
      </w:r>
      <w:r>
        <w:rPr>
          <w:sz w:val="28"/>
        </w:rPr>
        <w:t xml:space="preserve">знания. В ходе проведения </w:t>
      </w:r>
      <w:r>
        <w:rPr>
          <w:color w:val="242424"/>
          <w:sz w:val="28"/>
        </w:rPr>
        <w:t xml:space="preserve">ГИА </w:t>
      </w:r>
      <w:r>
        <w:rPr>
          <w:sz w:val="28"/>
        </w:rPr>
        <w:t>п</w:t>
      </w:r>
      <w:r>
        <w:rPr>
          <w:sz w:val="28"/>
        </w:rPr>
        <w:t>роверке подлежит компетенция вып</w:t>
      </w:r>
      <w:r>
        <w:rPr>
          <w:sz w:val="28"/>
        </w:rPr>
        <w:t>ускника, выражающаяся в его способност</w:t>
      </w:r>
      <w:r>
        <w:rPr>
          <w:sz w:val="28"/>
        </w:rPr>
        <w:t>и использовать на практике междисциплинарную</w:t>
      </w:r>
      <w:r>
        <w:rPr>
          <w:sz w:val="28"/>
        </w:rPr>
        <w:t xml:space="preserve"> методологию. Собеседование проводится на основе решения ситуационн</w:t>
      </w:r>
      <w:r>
        <w:rPr>
          <w:sz w:val="28"/>
        </w:rPr>
        <w:t>ых</w:t>
      </w:r>
      <w:r>
        <w:rPr>
          <w:sz w:val="28"/>
        </w:rPr>
        <w:t xml:space="preserve"> задач обобщенного характера.</w:t>
      </w:r>
    </w:p>
    <w:p w14:paraId="62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Оценке</w:t>
      </w:r>
      <w:r>
        <w:rPr>
          <w:spacing w:val="35"/>
          <w:sz w:val="28"/>
        </w:rPr>
        <w:t xml:space="preserve"> </w:t>
      </w:r>
      <w:r>
        <w:rPr>
          <w:color w:val="2A2A2A"/>
          <w:sz w:val="28"/>
        </w:rPr>
        <w:t>в</w:t>
      </w:r>
      <w:r>
        <w:rPr>
          <w:color w:val="2A2A2A"/>
          <w:spacing w:val="28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43"/>
          <w:sz w:val="28"/>
        </w:rPr>
        <w:t xml:space="preserve"> </w:t>
      </w:r>
      <w:r>
        <w:rPr>
          <w:sz w:val="28"/>
        </w:rPr>
        <w:t>слу</w:t>
      </w:r>
      <w:r>
        <w:rPr>
          <w:sz w:val="28"/>
        </w:rPr>
        <w:t>ч</w:t>
      </w:r>
      <w:r>
        <w:rPr>
          <w:sz w:val="28"/>
        </w:rPr>
        <w:t>ае</w:t>
      </w:r>
      <w:r>
        <w:rPr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4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4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41"/>
          <w:sz w:val="28"/>
        </w:rPr>
        <w:t xml:space="preserve"> </w:t>
      </w:r>
      <w:r>
        <w:rPr>
          <w:sz w:val="28"/>
        </w:rPr>
        <w:t>выпускника</w:t>
      </w:r>
      <w:r>
        <w:rPr>
          <w:spacing w:val="45"/>
          <w:sz w:val="28"/>
        </w:rPr>
        <w:t xml:space="preserve"> </w:t>
      </w:r>
      <w:r>
        <w:rPr>
          <w:sz w:val="28"/>
        </w:rPr>
        <w:t>разрабатыв</w:t>
      </w:r>
      <w:r>
        <w:rPr>
          <w:sz w:val="28"/>
        </w:rPr>
        <w:t>ать</w:t>
      </w:r>
      <w:r>
        <w:rPr>
          <w:spacing w:val="44"/>
          <w:sz w:val="28"/>
        </w:rPr>
        <w:t xml:space="preserve"> </w:t>
      </w:r>
      <w:r>
        <w:rPr>
          <w:spacing w:val="-10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осуществлять оптимальные решения профессиональных</w:t>
      </w:r>
      <w:r>
        <w:rPr>
          <w:sz w:val="28"/>
        </w:rPr>
        <w:t xml:space="preserve"> задач на осно</w:t>
      </w:r>
      <w:r>
        <w:rPr>
          <w:sz w:val="28"/>
        </w:rPr>
        <w:t>ве интеграции и синтеза содержания дис</w:t>
      </w:r>
      <w:r>
        <w:rPr>
          <w:sz w:val="28"/>
        </w:rPr>
        <w:t xml:space="preserve">циплин (модулей), входящие </w:t>
      </w:r>
      <w:r>
        <w:rPr>
          <w:color w:val="1C1C1C"/>
          <w:sz w:val="28"/>
        </w:rPr>
        <w:t xml:space="preserve">в </w:t>
      </w:r>
      <w:r>
        <w:rPr>
          <w:sz w:val="28"/>
        </w:rPr>
        <w:t>аттестационное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испытание.</w:t>
      </w:r>
    </w:p>
    <w:p w14:paraId="63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При проведении</w:t>
      </w:r>
      <w:r>
        <w:rPr>
          <w:sz w:val="28"/>
        </w:rPr>
        <w:t xml:space="preserve"> итогового собеседования используются ситуационные задачи, разработанные профильными кафедрами. Результаты собеседования определяются оценками: «отлично»,</w:t>
      </w:r>
      <w:r>
        <w:rPr>
          <w:spacing w:val="40"/>
          <w:sz w:val="28"/>
        </w:rPr>
        <w:t xml:space="preserve"> </w:t>
      </w:r>
      <w:r>
        <w:rPr>
          <w:sz w:val="28"/>
        </w:rPr>
        <w:t>«хорошо»,</w:t>
      </w:r>
      <w:r>
        <w:rPr>
          <w:spacing w:val="40"/>
          <w:sz w:val="28"/>
        </w:rPr>
        <w:t xml:space="preserve"> </w:t>
      </w:r>
      <w:r>
        <w:rPr>
          <w:sz w:val="28"/>
        </w:rPr>
        <w:t>«удовлетворительно», «неудовлетворительно».</w:t>
      </w:r>
    </w:p>
    <w:p w14:paraId="64000000">
      <w:pPr>
        <w:pStyle w:val="Style_5"/>
        <w:widowControl w:val="1"/>
        <w:ind w:firstLine="567" w:left="0"/>
        <w:rPr>
          <w:sz w:val="28"/>
        </w:rPr>
      </w:pPr>
      <w:r>
        <w:rPr>
          <w:sz w:val="28"/>
        </w:rPr>
        <w:t>Критерии</w:t>
      </w:r>
      <w:r>
        <w:rPr>
          <w:spacing w:val="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2"/>
          <w:sz w:val="28"/>
        </w:rPr>
        <w:t xml:space="preserve"> </w:t>
      </w:r>
      <w:r>
        <w:rPr>
          <w:spacing w:val="-2"/>
          <w:sz w:val="28"/>
        </w:rPr>
        <w:t>экзамен</w:t>
      </w:r>
      <w:r>
        <w:rPr>
          <w:spacing w:val="-2"/>
          <w:sz w:val="28"/>
        </w:rPr>
        <w:t>а:</w:t>
      </w:r>
    </w:p>
    <w:p w14:paraId="65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«Отличн</w:t>
      </w:r>
      <w:r>
        <w:rPr>
          <w:sz w:val="28"/>
        </w:rPr>
        <w:t xml:space="preserve">о» </w:t>
      </w:r>
      <w:r>
        <w:rPr>
          <w:spacing w:val="-6"/>
          <w:sz w:val="28"/>
        </w:rPr>
        <w:t>–</w:t>
      </w:r>
      <w:r>
        <w:rPr>
          <w:sz w:val="28"/>
        </w:rPr>
        <w:t xml:space="preserve"> </w:t>
      </w:r>
      <w:r>
        <w:rPr>
          <w:sz w:val="28"/>
        </w:rPr>
        <w:t>обучающийся</w:t>
      </w:r>
      <w:r>
        <w:rPr>
          <w:sz w:val="28"/>
        </w:rPr>
        <w:t xml:space="preserve"> демонс</w:t>
      </w:r>
      <w:r>
        <w:rPr>
          <w:sz w:val="28"/>
        </w:rPr>
        <w:t>трирует всесторонни</w:t>
      </w:r>
      <w:r>
        <w:rPr>
          <w:sz w:val="28"/>
        </w:rPr>
        <w:t>е, систематич</w:t>
      </w:r>
      <w:r>
        <w:rPr>
          <w:sz w:val="28"/>
        </w:rPr>
        <w:t>еск</w:t>
      </w:r>
      <w:r>
        <w:rPr>
          <w:sz w:val="28"/>
        </w:rPr>
        <w:t>и</w:t>
      </w:r>
      <w:r>
        <w:rPr>
          <w:sz w:val="28"/>
        </w:rPr>
        <w:t>е</w:t>
      </w:r>
      <w:r>
        <w:rPr>
          <w:spacing w:val="-1"/>
          <w:sz w:val="28"/>
        </w:rPr>
        <w:t xml:space="preserve"> </w:t>
      </w:r>
      <w:r>
        <w:rPr>
          <w:sz w:val="28"/>
        </w:rPr>
        <w:t>и глубоки</w:t>
      </w:r>
      <w:r>
        <w:rPr>
          <w:sz w:val="28"/>
        </w:rPr>
        <w:t>е знан</w:t>
      </w:r>
      <w:r>
        <w:rPr>
          <w:sz w:val="28"/>
        </w:rPr>
        <w:t>ия</w:t>
      </w:r>
      <w:r>
        <w:rPr>
          <w:sz w:val="28"/>
        </w:rPr>
        <w:t xml:space="preserve"> </w:t>
      </w:r>
      <w:r>
        <w:rPr>
          <w:sz w:val="28"/>
        </w:rPr>
        <w:t>по вопросам ситуационной задачи</w:t>
      </w:r>
      <w:r>
        <w:rPr>
          <w:sz w:val="28"/>
        </w:rPr>
        <w:t xml:space="preserve">, самостоятельно, </w:t>
      </w:r>
      <w:r>
        <w:rPr>
          <w:color w:val="131313"/>
          <w:sz w:val="28"/>
        </w:rPr>
        <w:t xml:space="preserve">в </w:t>
      </w:r>
      <w:r>
        <w:rPr>
          <w:sz w:val="28"/>
        </w:rPr>
        <w:t>логическ</w:t>
      </w:r>
      <w:r>
        <w:rPr>
          <w:sz w:val="28"/>
        </w:rPr>
        <w:t>ой последовательности и исчерпыв</w:t>
      </w:r>
      <w:r>
        <w:rPr>
          <w:sz w:val="28"/>
        </w:rPr>
        <w:t>ающе отвеч</w:t>
      </w:r>
      <w:r>
        <w:rPr>
          <w:sz w:val="28"/>
        </w:rPr>
        <w:t>ает на все вопросы</w:t>
      </w:r>
      <w:r>
        <w:rPr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 xml:space="preserve">свободно владеет терминологией, проявляет творческие способности, </w:t>
      </w:r>
      <w:r>
        <w:rPr>
          <w:sz w:val="28"/>
        </w:rPr>
        <w:t>выделяет существенное, умеет анали</w:t>
      </w:r>
      <w:r>
        <w:rPr>
          <w:sz w:val="28"/>
        </w:rPr>
        <w:t>зировать</w:t>
      </w:r>
      <w:r>
        <w:rPr>
          <w:sz w:val="28"/>
        </w:rPr>
        <w:t xml:space="preserve"> и систематизировать материал, </w:t>
      </w:r>
      <w:r>
        <w:rPr>
          <w:sz w:val="28"/>
        </w:rPr>
        <w:t xml:space="preserve">проявляет способность делать обобщающие выводы, </w:t>
      </w:r>
      <w:r>
        <w:rPr>
          <w:sz w:val="28"/>
        </w:rPr>
        <w:t>устанавливает причинно-следственные связи</w:t>
      </w:r>
      <w:r>
        <w:rPr>
          <w:sz w:val="28"/>
        </w:rPr>
        <w:t xml:space="preserve"> и видение решения проблем</w:t>
      </w:r>
      <w:r>
        <w:rPr>
          <w:sz w:val="28"/>
        </w:rPr>
        <w:t xml:space="preserve">, четко формулирует ответы, </w:t>
      </w:r>
      <w:r>
        <w:rPr>
          <w:sz w:val="28"/>
        </w:rPr>
        <w:t xml:space="preserve">владеет понятийным аппаратом, </w:t>
      </w:r>
      <w:r>
        <w:rPr>
          <w:sz w:val="28"/>
        </w:rPr>
        <w:t xml:space="preserve">полностью отвечает на </w:t>
      </w:r>
      <w:r>
        <w:rPr>
          <w:sz w:val="28"/>
        </w:rPr>
        <w:t xml:space="preserve">дополнительные </w:t>
      </w:r>
      <w:r>
        <w:rPr>
          <w:sz w:val="28"/>
        </w:rPr>
        <w:t>вопросы</w:t>
      </w:r>
      <w:r>
        <w:rPr>
          <w:sz w:val="28"/>
        </w:rPr>
        <w:t>.</w:t>
      </w:r>
    </w:p>
    <w:p w14:paraId="66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«Х</w:t>
      </w:r>
      <w:r>
        <w:rPr>
          <w:sz w:val="28"/>
        </w:rPr>
        <w:t xml:space="preserve">орошо» </w:t>
      </w:r>
      <w:r>
        <w:rPr>
          <w:spacing w:val="-6"/>
          <w:sz w:val="28"/>
        </w:rPr>
        <w:t>–</w:t>
      </w:r>
      <w:r>
        <w:rPr>
          <w:sz w:val="28"/>
        </w:rPr>
        <w:t xml:space="preserve"> </w:t>
      </w:r>
      <w:r>
        <w:rPr>
          <w:sz w:val="28"/>
        </w:rPr>
        <w:t>обучающийся</w:t>
      </w:r>
      <w:r>
        <w:rPr>
          <w:sz w:val="28"/>
        </w:rPr>
        <w:t xml:space="preserve"> демонстрирует в полн</w:t>
      </w:r>
      <w:r>
        <w:rPr>
          <w:sz w:val="28"/>
        </w:rPr>
        <w:t>ом объеме знани</w:t>
      </w:r>
      <w:r>
        <w:rPr>
          <w:sz w:val="28"/>
        </w:rPr>
        <w:t>я</w:t>
      </w:r>
      <w:r>
        <w:rPr>
          <w:sz w:val="28"/>
        </w:rPr>
        <w:t xml:space="preserve"> </w:t>
      </w:r>
      <w:r>
        <w:rPr>
          <w:sz w:val="28"/>
        </w:rPr>
        <w:t>по вопросам ситуационной задачи</w:t>
      </w:r>
      <w:r>
        <w:rPr>
          <w:spacing w:val="-4"/>
          <w:sz w:val="28"/>
        </w:rPr>
        <w:t>,</w:t>
      </w:r>
      <w:r>
        <w:rPr>
          <w:sz w:val="28"/>
        </w:rPr>
        <w:t xml:space="preserve"> </w:t>
      </w:r>
      <w:r>
        <w:rPr>
          <w:sz w:val="28"/>
        </w:rPr>
        <w:t xml:space="preserve">владеет терминологией, </w:t>
      </w:r>
      <w:r>
        <w:rPr>
          <w:spacing w:val="-6"/>
          <w:sz w:val="28"/>
        </w:rPr>
        <w:t>самостоятельно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дает полноценные</w:t>
      </w:r>
      <w:r>
        <w:rPr>
          <w:spacing w:val="17"/>
          <w:sz w:val="28"/>
        </w:rPr>
        <w:t xml:space="preserve"> </w:t>
      </w:r>
      <w:r>
        <w:rPr>
          <w:spacing w:val="-6"/>
          <w:sz w:val="28"/>
        </w:rPr>
        <w:t xml:space="preserve">ответы </w:t>
      </w:r>
      <w:r>
        <w:rPr>
          <w:color w:val="161616"/>
          <w:sz w:val="28"/>
        </w:rPr>
        <w:t>на</w:t>
      </w:r>
      <w:r>
        <w:rPr>
          <w:color w:val="161616"/>
          <w:spacing w:val="-1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всегда </w:t>
      </w:r>
      <w:r>
        <w:rPr>
          <w:spacing w:val="-6"/>
          <w:sz w:val="28"/>
        </w:rPr>
        <w:t xml:space="preserve">выделяет существенное, </w:t>
      </w:r>
      <w:r>
        <w:rPr>
          <w:sz w:val="28"/>
        </w:rPr>
        <w:t>использует для ответа наводящие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вопросы, </w:t>
      </w:r>
      <w:r>
        <w:rPr>
          <w:spacing w:val="-4"/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допускает серьезных</w:t>
      </w:r>
      <w:r>
        <w:rPr>
          <w:spacing w:val="11"/>
          <w:sz w:val="28"/>
        </w:rPr>
        <w:t xml:space="preserve"> </w:t>
      </w:r>
      <w:r>
        <w:rPr>
          <w:spacing w:val="-4"/>
          <w:sz w:val="28"/>
        </w:rPr>
        <w:t xml:space="preserve">ошибок </w:t>
      </w:r>
      <w:r>
        <w:rPr>
          <w:color w:val="0C0C0C"/>
          <w:spacing w:val="-4"/>
          <w:sz w:val="28"/>
        </w:rPr>
        <w:t>в</w:t>
      </w:r>
      <w:r>
        <w:rPr>
          <w:color w:val="0C0C0C"/>
          <w:spacing w:val="-10"/>
          <w:sz w:val="28"/>
        </w:rPr>
        <w:t xml:space="preserve"> </w:t>
      </w:r>
      <w:r>
        <w:rPr>
          <w:spacing w:val="-4"/>
          <w:sz w:val="28"/>
        </w:rPr>
        <w:t>ответах,</w:t>
      </w:r>
      <w:r>
        <w:rPr>
          <w:sz w:val="28"/>
        </w:rPr>
        <w:t xml:space="preserve"> владеет понятийным аппаратом, отвечает на дополнительные вопросы</w:t>
      </w:r>
      <w:r>
        <w:rPr>
          <w:sz w:val="28"/>
        </w:rPr>
        <w:t>.</w:t>
      </w:r>
    </w:p>
    <w:p w14:paraId="67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«Удовлетворительн</w:t>
      </w:r>
      <w:r>
        <w:rPr>
          <w:sz w:val="28"/>
        </w:rPr>
        <w:t xml:space="preserve">о» </w:t>
      </w:r>
      <w:r>
        <w:rPr>
          <w:spacing w:val="-6"/>
          <w:sz w:val="28"/>
        </w:rPr>
        <w:t>–</w:t>
      </w:r>
      <w:r>
        <w:rPr>
          <w:color w:val="262626"/>
          <w:sz w:val="28"/>
        </w:rPr>
        <w:t xml:space="preserve"> </w:t>
      </w:r>
      <w:r>
        <w:rPr>
          <w:sz w:val="28"/>
        </w:rPr>
        <w:t>обучающийся</w:t>
      </w:r>
      <w:r>
        <w:rPr>
          <w:sz w:val="28"/>
        </w:rPr>
        <w:t xml:space="preserve"> </w:t>
      </w:r>
      <w:r>
        <w:rPr>
          <w:sz w:val="28"/>
        </w:rPr>
        <w:t>имеет</w:t>
      </w:r>
      <w:r>
        <w:rPr>
          <w:sz w:val="28"/>
        </w:rPr>
        <w:t xml:space="preserve"> зн</w:t>
      </w:r>
      <w:r>
        <w:rPr>
          <w:sz w:val="28"/>
        </w:rPr>
        <w:t>ания</w:t>
      </w:r>
      <w:r>
        <w:rPr>
          <w:sz w:val="28"/>
        </w:rPr>
        <w:t xml:space="preserve"> по вопросам ситуационной задачи</w:t>
      </w:r>
      <w:r>
        <w:rPr>
          <w:spacing w:val="-6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владеет терминологией, </w:t>
      </w:r>
      <w:r>
        <w:rPr>
          <w:spacing w:val="-6"/>
          <w:sz w:val="28"/>
        </w:rPr>
        <w:t>н</w:t>
      </w:r>
      <w:r>
        <w:rPr>
          <w:spacing w:val="-6"/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имеет</w:t>
      </w:r>
      <w:r>
        <w:rPr>
          <w:spacing w:val="-7"/>
          <w:sz w:val="28"/>
        </w:rPr>
        <w:t xml:space="preserve"> </w:t>
      </w:r>
      <w:r>
        <w:rPr>
          <w:spacing w:val="-8"/>
          <w:sz w:val="28"/>
        </w:rPr>
        <w:t xml:space="preserve">неглубокие знания и </w:t>
      </w:r>
      <w:r>
        <w:rPr>
          <w:spacing w:val="-6"/>
          <w:sz w:val="28"/>
        </w:rPr>
        <w:t>затруднения</w:t>
      </w:r>
      <w:r>
        <w:rPr>
          <w:spacing w:val="-8"/>
          <w:sz w:val="28"/>
        </w:rPr>
        <w:t xml:space="preserve"> </w:t>
      </w:r>
      <w:r>
        <w:rPr>
          <w:spacing w:val="-8"/>
          <w:sz w:val="28"/>
        </w:rPr>
        <w:t>при ответах на принципиальные вопросы и проблемы</w:t>
      </w:r>
      <w:r>
        <w:rPr>
          <w:spacing w:val="-6"/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 xml:space="preserve">использует </w:t>
      </w:r>
      <w:r>
        <w:rPr>
          <w:spacing w:val="-2"/>
          <w:sz w:val="28"/>
        </w:rPr>
        <w:t>неточные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формулировки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допускает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ош</w:t>
      </w:r>
      <w:r>
        <w:rPr>
          <w:spacing w:val="-2"/>
          <w:sz w:val="28"/>
        </w:rPr>
        <w:t>ибк</w:t>
      </w:r>
      <w:r>
        <w:rPr>
          <w:spacing w:val="-2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существу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вопросов,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 xml:space="preserve">ответил частично и не полностью только на один вопрос задачи, </w:t>
      </w:r>
      <w:r>
        <w:rPr>
          <w:spacing w:val="-2"/>
          <w:sz w:val="28"/>
        </w:rPr>
        <w:t xml:space="preserve">с трудом </w:t>
      </w:r>
      <w:r>
        <w:rPr>
          <w:spacing w:val="-6"/>
          <w:sz w:val="28"/>
        </w:rPr>
        <w:t>отве</w:t>
      </w:r>
      <w:r>
        <w:rPr>
          <w:spacing w:val="-6"/>
          <w:sz w:val="28"/>
        </w:rPr>
        <w:t>чае</w:t>
      </w:r>
      <w:r>
        <w:rPr>
          <w:spacing w:val="-6"/>
          <w:sz w:val="28"/>
        </w:rPr>
        <w:t xml:space="preserve">т </w:t>
      </w:r>
      <w:r>
        <w:rPr>
          <w:color w:val="161616"/>
          <w:sz w:val="28"/>
        </w:rPr>
        <w:t>на</w:t>
      </w:r>
      <w:r>
        <w:rPr>
          <w:color w:val="161616"/>
          <w:spacing w:val="-11"/>
          <w:sz w:val="28"/>
        </w:rPr>
        <w:t xml:space="preserve"> </w:t>
      </w:r>
      <w:r>
        <w:rPr>
          <w:sz w:val="28"/>
        </w:rPr>
        <w:t>дополнительный</w:t>
      </w:r>
      <w:r>
        <w:rPr>
          <w:sz w:val="28"/>
        </w:rPr>
        <w:t xml:space="preserve"> </w:t>
      </w:r>
      <w:r>
        <w:rPr>
          <w:sz w:val="28"/>
        </w:rPr>
        <w:t>вопрос</w:t>
      </w:r>
      <w:r>
        <w:rPr>
          <w:spacing w:val="-6"/>
          <w:sz w:val="28"/>
        </w:rPr>
        <w:t>.</w:t>
      </w:r>
    </w:p>
    <w:p w14:paraId="68000000">
      <w:pPr>
        <w:pStyle w:val="Style_1"/>
        <w:widowControl w:val="1"/>
        <w:ind w:firstLine="567"/>
        <w:rPr>
          <w:sz w:val="28"/>
        </w:rPr>
      </w:pPr>
      <w:r>
        <w:rPr>
          <w:spacing w:val="-6"/>
          <w:sz w:val="28"/>
        </w:rPr>
        <w:t>«Неудовлетворительн</w:t>
      </w:r>
      <w:r>
        <w:rPr>
          <w:spacing w:val="-6"/>
          <w:sz w:val="28"/>
        </w:rPr>
        <w:t>о»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z w:val="28"/>
        </w:rPr>
        <w:t xml:space="preserve"> </w:t>
      </w:r>
      <w:r>
        <w:rPr>
          <w:sz w:val="28"/>
        </w:rPr>
        <w:t>обучающийся</w:t>
      </w:r>
      <w:r>
        <w:rPr>
          <w:sz w:val="28"/>
        </w:rPr>
        <w:t xml:space="preserve"> </w:t>
      </w:r>
      <w:r>
        <w:rPr>
          <w:sz w:val="28"/>
        </w:rPr>
        <w:t xml:space="preserve">не </w:t>
      </w:r>
      <w:r>
        <w:rPr>
          <w:spacing w:val="-6"/>
          <w:sz w:val="28"/>
        </w:rPr>
        <w:t>владеет обязательным</w:t>
      </w:r>
      <w:r>
        <w:rPr>
          <w:sz w:val="28"/>
        </w:rPr>
        <w:t xml:space="preserve"> </w:t>
      </w:r>
      <w:r>
        <w:rPr>
          <w:spacing w:val="-6"/>
          <w:sz w:val="28"/>
        </w:rPr>
        <w:t>м</w:t>
      </w:r>
      <w:r>
        <w:rPr>
          <w:spacing w:val="-6"/>
          <w:sz w:val="28"/>
        </w:rPr>
        <w:t>инимумом</w:t>
      </w:r>
      <w:r>
        <w:rPr>
          <w:sz w:val="28"/>
        </w:rPr>
        <w:t xml:space="preserve"> </w:t>
      </w:r>
      <w:r>
        <w:rPr>
          <w:spacing w:val="-6"/>
          <w:sz w:val="28"/>
        </w:rPr>
        <w:t xml:space="preserve">знаний </w:t>
      </w:r>
      <w:r>
        <w:rPr>
          <w:spacing w:val="-6"/>
          <w:sz w:val="28"/>
        </w:rPr>
        <w:t>учебно-программного материала, не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 xml:space="preserve">дает формулировки и допускает принципиальные ошибки </w:t>
      </w:r>
      <w:r>
        <w:rPr>
          <w:spacing w:val="-2"/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существу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вопросов</w:t>
      </w:r>
      <w:r>
        <w:rPr>
          <w:sz w:val="28"/>
        </w:rPr>
        <w:t>,</w:t>
      </w:r>
      <w:r>
        <w:rPr>
          <w:color w:val="1A1A1A"/>
          <w:spacing w:val="-7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ответил</w:t>
      </w:r>
      <w:r>
        <w:rPr>
          <w:spacing w:val="-7"/>
          <w:sz w:val="28"/>
        </w:rPr>
        <w:t xml:space="preserve"> </w:t>
      </w:r>
      <w:r>
        <w:rPr>
          <w:spacing w:val="-7"/>
          <w:sz w:val="28"/>
        </w:rPr>
        <w:t xml:space="preserve">ни </w:t>
      </w:r>
      <w:r>
        <w:rPr>
          <w:spacing w:val="-6"/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9"/>
          <w:sz w:val="28"/>
        </w:rPr>
        <w:t xml:space="preserve">один </w:t>
      </w:r>
      <w:r>
        <w:rPr>
          <w:spacing w:val="-6"/>
          <w:sz w:val="28"/>
        </w:rPr>
        <w:t>наводя</w:t>
      </w:r>
      <w:r>
        <w:rPr>
          <w:spacing w:val="-6"/>
          <w:sz w:val="28"/>
        </w:rPr>
        <w:t xml:space="preserve">щий вопрос, отказался отвечать </w:t>
      </w:r>
      <w:r>
        <w:rPr>
          <w:color w:val="161616"/>
          <w:sz w:val="28"/>
        </w:rPr>
        <w:t>на</w:t>
      </w:r>
      <w:r>
        <w:rPr>
          <w:color w:val="161616"/>
          <w:spacing w:val="-11"/>
          <w:sz w:val="28"/>
        </w:rPr>
        <w:t xml:space="preserve"> </w:t>
      </w:r>
      <w:r>
        <w:rPr>
          <w:color w:val="161616"/>
          <w:spacing w:val="-11"/>
          <w:sz w:val="28"/>
        </w:rPr>
        <w:t>дополнительные</w:t>
      </w:r>
      <w:r>
        <w:rPr>
          <w:color w:val="161616"/>
          <w:spacing w:val="-11"/>
          <w:sz w:val="28"/>
        </w:rPr>
        <w:t xml:space="preserve"> </w:t>
      </w:r>
      <w:r>
        <w:rPr>
          <w:sz w:val="28"/>
        </w:rPr>
        <w:t>вопросы</w:t>
      </w:r>
      <w:r>
        <w:rPr>
          <w:color w:val="0C0C0C"/>
          <w:spacing w:val="-6"/>
          <w:sz w:val="28"/>
        </w:rPr>
        <w:t>.</w:t>
      </w:r>
    </w:p>
    <w:p w14:paraId="69000000">
      <w:pPr>
        <w:pStyle w:val="Style_5"/>
        <w:widowControl w:val="1"/>
        <w:ind w:firstLine="567" w:left="0"/>
        <w:rPr>
          <w:sz w:val="28"/>
        </w:rPr>
      </w:pPr>
      <w:r>
        <w:rPr>
          <w:spacing w:val="-8"/>
          <w:sz w:val="28"/>
        </w:rPr>
        <w:t>Ш.</w:t>
      </w:r>
      <w:r>
        <w:rPr>
          <w:spacing w:val="-3"/>
          <w:sz w:val="28"/>
        </w:rPr>
        <w:t xml:space="preserve"> </w:t>
      </w:r>
      <w:r>
        <w:rPr>
          <w:spacing w:val="-8"/>
          <w:sz w:val="28"/>
        </w:rPr>
        <w:t>Порядок</w:t>
      </w:r>
      <w:r>
        <w:rPr>
          <w:spacing w:val="2"/>
          <w:sz w:val="28"/>
        </w:rPr>
        <w:t xml:space="preserve"> </w:t>
      </w:r>
      <w:r>
        <w:rPr>
          <w:color w:val="111111"/>
          <w:spacing w:val="-8"/>
          <w:sz w:val="28"/>
        </w:rPr>
        <w:t>проведени</w:t>
      </w:r>
      <w:r>
        <w:rPr>
          <w:color w:val="111111"/>
          <w:spacing w:val="-8"/>
          <w:sz w:val="28"/>
        </w:rPr>
        <w:t>я</w:t>
      </w:r>
      <w:r>
        <w:rPr>
          <w:color w:val="111111"/>
          <w:spacing w:val="13"/>
          <w:sz w:val="28"/>
        </w:rPr>
        <w:t xml:space="preserve"> </w:t>
      </w:r>
      <w:r>
        <w:rPr>
          <w:spacing w:val="-8"/>
          <w:sz w:val="28"/>
        </w:rPr>
        <w:t>государстве</w:t>
      </w:r>
      <w:r>
        <w:rPr>
          <w:spacing w:val="-8"/>
          <w:sz w:val="28"/>
        </w:rPr>
        <w:t>нн</w:t>
      </w:r>
      <w:r>
        <w:rPr>
          <w:spacing w:val="-8"/>
          <w:sz w:val="28"/>
        </w:rPr>
        <w:t>ой</w:t>
      </w:r>
      <w:r>
        <w:rPr>
          <w:spacing w:val="-5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8"/>
          <w:sz w:val="28"/>
        </w:rPr>
        <w:t>тоговой</w:t>
      </w:r>
      <w:r>
        <w:rPr>
          <w:spacing w:val="6"/>
          <w:sz w:val="28"/>
        </w:rPr>
        <w:t xml:space="preserve"> </w:t>
      </w:r>
      <w:r>
        <w:rPr>
          <w:color w:val="0F0F0F"/>
          <w:spacing w:val="-8"/>
          <w:sz w:val="28"/>
        </w:rPr>
        <w:t xml:space="preserve">аттестации </w:t>
      </w:r>
    </w:p>
    <w:p w14:paraId="6A000000">
      <w:pPr>
        <w:pStyle w:val="Style_1"/>
        <w:widowControl w:val="1"/>
        <w:ind w:firstLine="567"/>
        <w:rPr>
          <w:sz w:val="28"/>
        </w:rPr>
      </w:pPr>
      <w:r>
        <w:rPr>
          <w:spacing w:val="-6"/>
          <w:sz w:val="28"/>
        </w:rPr>
        <w:t>Атт</w:t>
      </w:r>
      <w:r>
        <w:rPr>
          <w:spacing w:val="-6"/>
          <w:sz w:val="28"/>
        </w:rPr>
        <w:t>естационные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и</w:t>
      </w:r>
      <w:r>
        <w:rPr>
          <w:spacing w:val="-6"/>
          <w:sz w:val="28"/>
        </w:rPr>
        <w:t>спыта</w:t>
      </w:r>
      <w:r>
        <w:rPr>
          <w:spacing w:val="-6"/>
          <w:sz w:val="28"/>
        </w:rPr>
        <w:t>н</w:t>
      </w:r>
      <w:r>
        <w:rPr>
          <w:spacing w:val="-6"/>
          <w:sz w:val="28"/>
        </w:rPr>
        <w:t>ия</w:t>
      </w:r>
      <w:r>
        <w:rPr>
          <w:sz w:val="28"/>
        </w:rPr>
        <w:t xml:space="preserve"> </w:t>
      </w:r>
      <w:r>
        <w:rPr>
          <w:spacing w:val="-6"/>
          <w:sz w:val="28"/>
        </w:rPr>
        <w:t>проводятся</w:t>
      </w:r>
      <w:r>
        <w:rPr>
          <w:sz w:val="28"/>
        </w:rPr>
        <w:t xml:space="preserve"> </w:t>
      </w:r>
      <w:r>
        <w:rPr>
          <w:spacing w:val="-6"/>
          <w:sz w:val="28"/>
        </w:rPr>
        <w:t>н</w:t>
      </w:r>
      <w:r>
        <w:rPr>
          <w:spacing w:val="-6"/>
          <w:sz w:val="28"/>
        </w:rPr>
        <w:t>а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открытых</w:t>
      </w:r>
      <w:r>
        <w:rPr>
          <w:sz w:val="28"/>
        </w:rPr>
        <w:t xml:space="preserve"> </w:t>
      </w:r>
      <w:r>
        <w:rPr>
          <w:spacing w:val="-6"/>
          <w:sz w:val="28"/>
        </w:rPr>
        <w:t>заседани</w:t>
      </w:r>
      <w:r>
        <w:rPr>
          <w:spacing w:val="-6"/>
          <w:sz w:val="28"/>
        </w:rPr>
        <w:t>ях</w:t>
      </w:r>
      <w:r>
        <w:rPr>
          <w:sz w:val="28"/>
        </w:rPr>
        <w:t xml:space="preserve"> </w:t>
      </w:r>
      <w:r>
        <w:rPr>
          <w:spacing w:val="-6"/>
          <w:sz w:val="28"/>
        </w:rPr>
        <w:t>государственной экзаменационной</w:t>
      </w:r>
      <w:r>
        <w:rPr>
          <w:spacing w:val="-19"/>
          <w:sz w:val="28"/>
        </w:rPr>
        <w:t xml:space="preserve"> </w:t>
      </w:r>
      <w:r>
        <w:rPr>
          <w:spacing w:val="-6"/>
          <w:sz w:val="28"/>
        </w:rPr>
        <w:t>комиссии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pacing w:val="-6"/>
          <w:sz w:val="28"/>
        </w:rPr>
        <w:t>участием</w:t>
      </w:r>
      <w:r>
        <w:rPr>
          <w:spacing w:val="-2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мен</w:t>
      </w:r>
      <w:r>
        <w:rPr>
          <w:spacing w:val="-6"/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pacing w:val="-6"/>
          <w:sz w:val="28"/>
        </w:rPr>
        <w:t>2/3</w:t>
      </w:r>
      <w:r>
        <w:rPr>
          <w:spacing w:val="5"/>
          <w:sz w:val="28"/>
        </w:rPr>
        <w:t xml:space="preserve"> </w:t>
      </w:r>
      <w:r>
        <w:rPr>
          <w:spacing w:val="-6"/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состава.</w:t>
      </w:r>
    </w:p>
    <w:p w14:paraId="6B000000">
      <w:pPr>
        <w:pStyle w:val="Style_1"/>
        <w:widowControl w:val="1"/>
        <w:ind w:firstLine="567"/>
        <w:rPr>
          <w:sz w:val="28"/>
        </w:rPr>
      </w:pPr>
      <w:r>
        <w:rPr>
          <w:spacing w:val="-4"/>
          <w:sz w:val="28"/>
        </w:rPr>
        <w:t>Результаты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государстве</w:t>
      </w:r>
      <w:r>
        <w:rPr>
          <w:spacing w:val="-4"/>
          <w:sz w:val="28"/>
        </w:rPr>
        <w:t>нной</w:t>
      </w:r>
      <w:r>
        <w:rPr>
          <w:spacing w:val="-9"/>
          <w:sz w:val="28"/>
        </w:rPr>
        <w:t xml:space="preserve"> </w:t>
      </w:r>
      <w:r>
        <w:rPr>
          <w:spacing w:val="-9"/>
          <w:sz w:val="28"/>
        </w:rPr>
        <w:t>ит</w:t>
      </w:r>
      <w:r>
        <w:rPr>
          <w:spacing w:val="-4"/>
          <w:sz w:val="28"/>
        </w:rPr>
        <w:t>оговой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атт</w:t>
      </w:r>
      <w:r>
        <w:rPr>
          <w:spacing w:val="-4"/>
          <w:sz w:val="28"/>
        </w:rPr>
        <w:t>естации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объявляются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выпускнику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 xml:space="preserve">тот </w:t>
      </w:r>
      <w:r>
        <w:rPr>
          <w:spacing w:val="-8"/>
          <w:sz w:val="28"/>
        </w:rPr>
        <w:t>же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день</w:t>
      </w:r>
      <w:r>
        <w:rPr>
          <w:spacing w:val="-5"/>
          <w:sz w:val="28"/>
        </w:rPr>
        <w:t xml:space="preserve"> </w:t>
      </w:r>
      <w:r>
        <w:rPr>
          <w:spacing w:val="-8"/>
          <w:sz w:val="28"/>
        </w:rPr>
        <w:t>после</w:t>
      </w:r>
      <w:r>
        <w:rPr>
          <w:spacing w:val="-5"/>
          <w:sz w:val="28"/>
        </w:rPr>
        <w:t xml:space="preserve"> </w:t>
      </w:r>
      <w:r>
        <w:rPr>
          <w:spacing w:val="-8"/>
          <w:sz w:val="28"/>
        </w:rPr>
        <w:t>оформлени</w:t>
      </w:r>
      <w:r>
        <w:rPr>
          <w:spacing w:val="-8"/>
          <w:sz w:val="28"/>
        </w:rPr>
        <w:t>я</w:t>
      </w:r>
      <w:r>
        <w:rPr>
          <w:sz w:val="28"/>
        </w:rPr>
        <w:t xml:space="preserve"> </w:t>
      </w:r>
      <w:r>
        <w:rPr>
          <w:color w:val="161616"/>
          <w:spacing w:val="-8"/>
          <w:sz w:val="28"/>
        </w:rPr>
        <w:t>и</w:t>
      </w:r>
      <w:r>
        <w:rPr>
          <w:color w:val="161616"/>
          <w:spacing w:val="7"/>
          <w:sz w:val="28"/>
        </w:rPr>
        <w:t xml:space="preserve"> </w:t>
      </w:r>
      <w:r>
        <w:rPr>
          <w:spacing w:val="-8"/>
          <w:sz w:val="28"/>
        </w:rPr>
        <w:t>утверждения</w:t>
      </w:r>
      <w:r>
        <w:rPr>
          <w:sz w:val="28"/>
        </w:rPr>
        <w:t xml:space="preserve"> </w:t>
      </w:r>
      <w:r>
        <w:rPr>
          <w:spacing w:val="-8"/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установленн</w:t>
      </w:r>
      <w:r>
        <w:rPr>
          <w:spacing w:val="-8"/>
          <w:sz w:val="28"/>
        </w:rPr>
        <w:t>ом</w:t>
      </w:r>
      <w:r>
        <w:rPr>
          <w:spacing w:val="13"/>
          <w:sz w:val="28"/>
        </w:rPr>
        <w:t xml:space="preserve"> </w:t>
      </w:r>
      <w:r>
        <w:rPr>
          <w:spacing w:val="-8"/>
          <w:sz w:val="28"/>
        </w:rPr>
        <w:t>порядке</w:t>
      </w:r>
      <w:r>
        <w:rPr>
          <w:sz w:val="28"/>
        </w:rPr>
        <w:t xml:space="preserve"> </w:t>
      </w:r>
      <w:r>
        <w:rPr>
          <w:spacing w:val="-8"/>
          <w:sz w:val="28"/>
        </w:rPr>
        <w:t>протоколов</w:t>
      </w:r>
      <w:r>
        <w:rPr>
          <w:sz w:val="28"/>
        </w:rPr>
        <w:t xml:space="preserve"> </w:t>
      </w:r>
      <w:r>
        <w:rPr>
          <w:spacing w:val="-8"/>
          <w:sz w:val="28"/>
        </w:rPr>
        <w:t xml:space="preserve">заседания </w:t>
      </w:r>
      <w:r>
        <w:rPr>
          <w:spacing w:val="-4"/>
          <w:sz w:val="28"/>
        </w:rPr>
        <w:t>ГЭК.</w:t>
      </w:r>
    </w:p>
    <w:p w14:paraId="6C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Решение о присвоении выпускнику квалификации</w:t>
      </w:r>
      <w:r>
        <w:rPr>
          <w:sz w:val="28"/>
        </w:rPr>
        <w:t xml:space="preserve"> по специальности </w:t>
      </w:r>
      <w:r>
        <w:rPr>
          <w:color w:themeColor="text1" w:val="000000"/>
          <w:sz w:val="28"/>
        </w:rPr>
        <w:t>31.02.06 «Стоматология профилактическая»</w:t>
      </w:r>
      <w:r>
        <w:rPr>
          <w:sz w:val="28"/>
        </w:rPr>
        <w:t xml:space="preserve"> </w:t>
      </w:r>
      <w:r>
        <w:rPr>
          <w:sz w:val="28"/>
        </w:rPr>
        <w:t>и в</w:t>
      </w:r>
      <w:r>
        <w:rPr>
          <w:sz w:val="28"/>
        </w:rPr>
        <w:t>ыдаче докумен</w:t>
      </w:r>
      <w:r>
        <w:rPr>
          <w:sz w:val="28"/>
        </w:rPr>
        <w:t>та об образова</w:t>
      </w:r>
      <w:r>
        <w:rPr>
          <w:sz w:val="28"/>
        </w:rPr>
        <w:t>нии принимает государственн</w:t>
      </w:r>
      <w:r>
        <w:rPr>
          <w:sz w:val="28"/>
        </w:rPr>
        <w:t xml:space="preserve">ая </w:t>
      </w:r>
      <w:r>
        <w:rPr>
          <w:spacing w:val="-4"/>
          <w:sz w:val="28"/>
        </w:rPr>
        <w:t>экзамен</w:t>
      </w:r>
      <w:r>
        <w:rPr>
          <w:spacing w:val="-4"/>
          <w:sz w:val="28"/>
        </w:rPr>
        <w:t>ационная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к</w:t>
      </w:r>
      <w:r>
        <w:rPr>
          <w:spacing w:val="-4"/>
          <w:sz w:val="28"/>
        </w:rPr>
        <w:t>омиссия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положительны</w:t>
      </w:r>
      <w:r>
        <w:rPr>
          <w:spacing w:val="-4"/>
          <w:sz w:val="28"/>
        </w:rPr>
        <w:t>м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результатам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государственной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4"/>
          <w:sz w:val="28"/>
        </w:rPr>
        <w:t xml:space="preserve">тоговой </w:t>
      </w:r>
      <w:r>
        <w:rPr>
          <w:spacing w:val="-8"/>
          <w:sz w:val="28"/>
        </w:rPr>
        <w:t>аттестаци</w:t>
      </w:r>
      <w:r>
        <w:rPr>
          <w:spacing w:val="-8"/>
          <w:sz w:val="28"/>
        </w:rPr>
        <w:t>и,</w:t>
      </w:r>
      <w:r>
        <w:rPr>
          <w:spacing w:val="33"/>
          <w:sz w:val="28"/>
        </w:rPr>
        <w:t xml:space="preserve"> </w:t>
      </w:r>
      <w:r>
        <w:rPr>
          <w:spacing w:val="-8"/>
          <w:sz w:val="28"/>
        </w:rPr>
        <w:t>оформленны</w:t>
      </w:r>
      <w:r>
        <w:rPr>
          <w:spacing w:val="-8"/>
          <w:sz w:val="28"/>
        </w:rPr>
        <w:t>м</w:t>
      </w:r>
      <w:r>
        <w:rPr>
          <w:spacing w:val="24"/>
          <w:sz w:val="28"/>
        </w:rPr>
        <w:t xml:space="preserve"> </w:t>
      </w:r>
      <w:r>
        <w:rPr>
          <w:spacing w:val="-8"/>
          <w:sz w:val="28"/>
        </w:rPr>
        <w:t>соответствующими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п</w:t>
      </w:r>
      <w:r>
        <w:rPr>
          <w:spacing w:val="-8"/>
          <w:sz w:val="28"/>
        </w:rPr>
        <w:t>ротоколами.</w:t>
      </w:r>
    </w:p>
    <w:p w14:paraId="6D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Обучающиеся, не прошедши</w:t>
      </w:r>
      <w:r>
        <w:rPr>
          <w:sz w:val="28"/>
        </w:rPr>
        <w:t xml:space="preserve">е ГИА в связи с неявкой на государственное </w:t>
      </w:r>
      <w:r>
        <w:rPr>
          <w:spacing w:val="-4"/>
          <w:sz w:val="28"/>
        </w:rPr>
        <w:t>аттестационное испытание по уважительн</w:t>
      </w:r>
      <w:r>
        <w:rPr>
          <w:spacing w:val="-4"/>
          <w:sz w:val="28"/>
        </w:rPr>
        <w:t>о</w:t>
      </w:r>
      <w:r>
        <w:rPr>
          <w:spacing w:val="-4"/>
          <w:sz w:val="28"/>
        </w:rPr>
        <w:t>й</w:t>
      </w:r>
      <w:r>
        <w:rPr>
          <w:spacing w:val="-4"/>
          <w:sz w:val="28"/>
        </w:rPr>
        <w:t xml:space="preserve"> </w:t>
      </w:r>
      <w:r>
        <w:rPr>
          <w:spacing w:val="-4"/>
          <w:sz w:val="28"/>
        </w:rPr>
        <w:t>причин</w:t>
      </w:r>
      <w:r>
        <w:rPr>
          <w:spacing w:val="-4"/>
          <w:sz w:val="28"/>
        </w:rPr>
        <w:t xml:space="preserve">е (временная </w:t>
      </w:r>
      <w:r>
        <w:rPr>
          <w:spacing w:val="-4"/>
          <w:sz w:val="28"/>
        </w:rPr>
        <w:t xml:space="preserve">нетрудоспособность, </w:t>
      </w:r>
      <w:r>
        <w:rPr>
          <w:spacing w:val="-6"/>
          <w:sz w:val="28"/>
        </w:rPr>
        <w:t>исполнен</w:t>
      </w:r>
      <w:r>
        <w:rPr>
          <w:spacing w:val="-6"/>
          <w:sz w:val="28"/>
        </w:rPr>
        <w:t>ие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общественных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и</w:t>
      </w:r>
      <w:r>
        <w:rPr>
          <w:spacing w:val="-6"/>
          <w:sz w:val="28"/>
        </w:rPr>
        <w:t>ли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государственных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обязанностей,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выз</w:t>
      </w:r>
      <w:r>
        <w:rPr>
          <w:spacing w:val="-6"/>
          <w:sz w:val="28"/>
        </w:rPr>
        <w:t>ов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суд,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 xml:space="preserve">транспортные </w:t>
      </w:r>
      <w:r>
        <w:rPr>
          <w:sz w:val="28"/>
        </w:rPr>
        <w:t>проблемы (отмен</w:t>
      </w:r>
      <w:r>
        <w:rPr>
          <w:sz w:val="28"/>
        </w:rPr>
        <w:t>а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ейса, отсутствие билетов, погодные условия), вправе пройти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в </w:t>
      </w:r>
      <w:r>
        <w:rPr>
          <w:spacing w:val="-6"/>
          <w:sz w:val="28"/>
        </w:rPr>
        <w:t>течение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6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месяцев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после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завершения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государственн</w:t>
      </w:r>
      <w:r>
        <w:rPr>
          <w:spacing w:val="-6"/>
          <w:sz w:val="28"/>
        </w:rPr>
        <w:t>ой</w:t>
      </w:r>
      <w:r>
        <w:rPr>
          <w:spacing w:val="-16"/>
          <w:sz w:val="28"/>
        </w:rPr>
        <w:t xml:space="preserve"> </w:t>
      </w:r>
      <w:r>
        <w:rPr>
          <w:spacing w:val="-6"/>
          <w:sz w:val="28"/>
        </w:rPr>
        <w:t>ит</w:t>
      </w:r>
      <w:r>
        <w:rPr>
          <w:spacing w:val="-6"/>
          <w:sz w:val="28"/>
        </w:rPr>
        <w:t>огово</w:t>
      </w:r>
      <w:r>
        <w:rPr>
          <w:spacing w:val="-6"/>
          <w:sz w:val="28"/>
        </w:rPr>
        <w:t>й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>аттестации</w:t>
      </w:r>
      <w:r>
        <w:rPr>
          <w:spacing w:val="-6"/>
          <w:sz w:val="28"/>
        </w:rPr>
        <w:t>.</w:t>
      </w:r>
    </w:p>
    <w:p w14:paraId="6E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Обучающейся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представить </w:t>
      </w:r>
      <w:r>
        <w:rPr>
          <w:color w:val="181818"/>
          <w:sz w:val="28"/>
        </w:rPr>
        <w:t>в</w:t>
      </w:r>
      <w:r>
        <w:rPr>
          <w:color w:val="181818"/>
          <w:spacing w:val="-9"/>
          <w:sz w:val="28"/>
        </w:rPr>
        <w:t xml:space="preserve"> </w:t>
      </w:r>
      <w:r>
        <w:rPr>
          <w:sz w:val="28"/>
        </w:rPr>
        <w:t>организацию документ, подтверждающи</w:t>
      </w:r>
      <w:r>
        <w:rPr>
          <w:sz w:val="28"/>
        </w:rPr>
        <w:t xml:space="preserve">й </w:t>
      </w:r>
      <w:r>
        <w:rPr>
          <w:spacing w:val="-2"/>
          <w:sz w:val="28"/>
        </w:rPr>
        <w:t>причину его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отсутствия.</w:t>
      </w:r>
    </w:p>
    <w:p w14:paraId="6F000000">
      <w:pPr>
        <w:pStyle w:val="Style_1"/>
        <w:widowControl w:val="1"/>
        <w:ind w:firstLine="567"/>
        <w:rPr>
          <w:sz w:val="28"/>
        </w:rPr>
      </w:pPr>
      <w:r>
        <w:rPr>
          <w:spacing w:val="-6"/>
          <w:sz w:val="28"/>
        </w:rPr>
        <w:t>Обучающ</w:t>
      </w:r>
      <w:r>
        <w:rPr>
          <w:spacing w:val="-6"/>
          <w:sz w:val="28"/>
        </w:rPr>
        <w:t>иеся,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про</w:t>
      </w:r>
      <w:r>
        <w:rPr>
          <w:spacing w:val="-6"/>
          <w:sz w:val="28"/>
        </w:rPr>
        <w:t>шедш</w:t>
      </w:r>
      <w:r>
        <w:rPr>
          <w:spacing w:val="-6"/>
          <w:sz w:val="28"/>
        </w:rPr>
        <w:t>ие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государствен</w:t>
      </w:r>
      <w:r>
        <w:rPr>
          <w:spacing w:val="-6"/>
          <w:sz w:val="28"/>
        </w:rPr>
        <w:t>н</w:t>
      </w:r>
      <w:r>
        <w:rPr>
          <w:spacing w:val="-6"/>
          <w:sz w:val="28"/>
        </w:rPr>
        <w:t>ое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аттестационное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испытание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  <w:shd w:themeFill="background1" w:val="clear"/>
        </w:rPr>
        <w:t>связи</w:t>
      </w:r>
      <w:r>
        <w:rPr>
          <w:spacing w:val="-7"/>
          <w:sz w:val="28"/>
          <w:shd w:themeFill="background1" w:val="clear"/>
        </w:rPr>
        <w:t xml:space="preserve"> </w:t>
      </w:r>
      <w:r>
        <w:rPr>
          <w:spacing w:val="-6"/>
          <w:sz w:val="28"/>
          <w:shd w:themeFill="background1" w:val="clear"/>
        </w:rPr>
        <w:t xml:space="preserve">с </w:t>
      </w:r>
      <w:r>
        <w:rPr>
          <w:sz w:val="28"/>
          <w:shd w:themeFill="background1" w:val="clear"/>
        </w:rPr>
        <w:t>неявкой</w:t>
      </w:r>
      <w:r>
        <w:rPr>
          <w:sz w:val="28"/>
          <w:shd w:themeFill="background1" w:val="clear"/>
        </w:rPr>
        <w:t xml:space="preserve"> </w:t>
      </w:r>
      <w:r>
        <w:rPr>
          <w:sz w:val="28"/>
          <w:shd w:themeFill="background1" w:val="clear"/>
        </w:rPr>
        <w:t>па государственное аттестационное испытание</w:t>
      </w:r>
      <w:r>
        <w:rPr>
          <w:sz w:val="28"/>
          <w:shd w:themeFill="background1" w:val="clear"/>
        </w:rPr>
        <w:t xml:space="preserve"> </w:t>
      </w:r>
      <w:r>
        <w:rPr>
          <w:sz w:val="28"/>
          <w:shd w:themeFill="background1" w:val="clear"/>
        </w:rPr>
        <w:t>по неуважительной причине или</w:t>
      </w:r>
      <w:r>
        <w:rPr>
          <w:sz w:val="32"/>
        </w:rPr>
        <w:t xml:space="preserve"> </w:t>
      </w:r>
      <w:r>
        <w:rPr>
          <w:sz w:val="28"/>
        </w:rPr>
        <w:t xml:space="preserve">в </w:t>
      </w:r>
      <w:r>
        <w:rPr>
          <w:sz w:val="28"/>
        </w:rPr>
        <w:t>связи с полу</w:t>
      </w:r>
      <w:r>
        <w:rPr>
          <w:sz w:val="28"/>
        </w:rPr>
        <w:t>чением оценки «неудовлетворительн</w:t>
      </w:r>
      <w:r>
        <w:rPr>
          <w:sz w:val="28"/>
        </w:rPr>
        <w:t>о», от</w:t>
      </w:r>
      <w:r>
        <w:rPr>
          <w:sz w:val="28"/>
        </w:rPr>
        <w:t>числяются и</w:t>
      </w:r>
      <w:r>
        <w:rPr>
          <w:sz w:val="28"/>
        </w:rPr>
        <w:t>з орга</w:t>
      </w:r>
      <w:r>
        <w:rPr>
          <w:sz w:val="28"/>
        </w:rPr>
        <w:t>низаци</w:t>
      </w:r>
      <w:r>
        <w:rPr>
          <w:sz w:val="28"/>
        </w:rPr>
        <w:t xml:space="preserve">и с выдачей справки </w:t>
      </w:r>
      <w:r>
        <w:rPr>
          <w:color w:val="1A1A1A"/>
          <w:sz w:val="28"/>
        </w:rPr>
        <w:t xml:space="preserve">об </w:t>
      </w:r>
      <w:r>
        <w:rPr>
          <w:sz w:val="28"/>
        </w:rPr>
        <w:t>обуче</w:t>
      </w:r>
      <w:r>
        <w:rPr>
          <w:sz w:val="28"/>
        </w:rPr>
        <w:t>нии</w:t>
      </w:r>
      <w:r>
        <w:rPr>
          <w:sz w:val="28"/>
        </w:rPr>
        <w:t xml:space="preserve"> как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ыполнившие</w:t>
      </w:r>
      <w:r>
        <w:rPr>
          <w:sz w:val="28"/>
        </w:rPr>
        <w:t xml:space="preserve"> обяза</w:t>
      </w:r>
      <w:r>
        <w:rPr>
          <w:sz w:val="28"/>
        </w:rPr>
        <w:t>нностей</w:t>
      </w:r>
      <w:r>
        <w:rPr>
          <w:sz w:val="28"/>
        </w:rPr>
        <w:t xml:space="preserve"> по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добросовестному </w:t>
      </w:r>
      <w:r>
        <w:rPr>
          <w:spacing w:val="-4"/>
          <w:sz w:val="28"/>
        </w:rPr>
        <w:t>освоени</w:t>
      </w:r>
      <w:r>
        <w:rPr>
          <w:spacing w:val="-4"/>
          <w:sz w:val="28"/>
        </w:rPr>
        <w:t>ю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образователь</w:t>
      </w:r>
      <w:r>
        <w:rPr>
          <w:spacing w:val="-4"/>
          <w:sz w:val="28"/>
        </w:rPr>
        <w:t>ной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программ</w:t>
      </w:r>
      <w:r>
        <w:rPr>
          <w:spacing w:val="-4"/>
          <w:sz w:val="28"/>
        </w:rPr>
        <w:t>ы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вып</w:t>
      </w:r>
      <w:r>
        <w:rPr>
          <w:spacing w:val="-4"/>
          <w:sz w:val="28"/>
        </w:rPr>
        <w:t>олне</w:t>
      </w:r>
      <w:r>
        <w:rPr>
          <w:spacing w:val="-4"/>
          <w:sz w:val="28"/>
        </w:rPr>
        <w:t>нию</w:t>
      </w:r>
      <w:r>
        <w:rPr>
          <w:spacing w:val="14"/>
          <w:sz w:val="28"/>
        </w:rPr>
        <w:t xml:space="preserve"> </w:t>
      </w:r>
      <w:r>
        <w:rPr>
          <w:spacing w:val="-4"/>
          <w:sz w:val="28"/>
        </w:rPr>
        <w:t>уч</w:t>
      </w:r>
      <w:r>
        <w:rPr>
          <w:spacing w:val="-4"/>
          <w:sz w:val="28"/>
        </w:rPr>
        <w:t>еб</w:t>
      </w:r>
      <w:r>
        <w:rPr>
          <w:spacing w:val="-4"/>
          <w:sz w:val="28"/>
        </w:rPr>
        <w:t>ного</w:t>
      </w:r>
      <w:r>
        <w:rPr>
          <w:sz w:val="28"/>
        </w:rPr>
        <w:t xml:space="preserve"> </w:t>
      </w:r>
      <w:r>
        <w:rPr>
          <w:spacing w:val="-4"/>
          <w:sz w:val="28"/>
        </w:rPr>
        <w:t>план</w:t>
      </w:r>
      <w:r>
        <w:rPr>
          <w:spacing w:val="-4"/>
          <w:sz w:val="28"/>
        </w:rPr>
        <w:t>а.</w:t>
      </w:r>
    </w:p>
    <w:p w14:paraId="70000000">
      <w:pPr>
        <w:pStyle w:val="Style_1"/>
        <w:widowControl w:val="1"/>
        <w:ind w:firstLine="567"/>
        <w:rPr>
          <w:sz w:val="28"/>
        </w:rPr>
      </w:pPr>
      <w:r>
        <w:rPr>
          <w:sz w:val="28"/>
        </w:rPr>
        <w:t>Лицо, н</w:t>
      </w:r>
      <w:r>
        <w:rPr>
          <w:sz w:val="28"/>
        </w:rPr>
        <w:t xml:space="preserve">е </w:t>
      </w:r>
      <w:r>
        <w:rPr>
          <w:sz w:val="28"/>
        </w:rPr>
        <w:t>прошедшее</w:t>
      </w:r>
      <w:r>
        <w:rPr>
          <w:sz w:val="28"/>
        </w:rPr>
        <w:t xml:space="preserve"> государственную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итоговую аттестацию, может </w:t>
      </w:r>
      <w:r>
        <w:rPr>
          <w:sz w:val="28"/>
        </w:rPr>
        <w:t>повторно пройти государственную итоговую атт</w:t>
      </w:r>
      <w:r>
        <w:rPr>
          <w:sz w:val="28"/>
        </w:rPr>
        <w:t>естац</w:t>
      </w:r>
      <w:r>
        <w:rPr>
          <w:sz w:val="28"/>
        </w:rPr>
        <w:t>ию не ранее чем</w:t>
      </w:r>
      <w:r>
        <w:rPr>
          <w:sz w:val="28"/>
        </w:rPr>
        <w:t xml:space="preserve"> через 10 месяцев и не </w:t>
      </w:r>
      <w:r>
        <w:rPr>
          <w:spacing w:val="-8"/>
          <w:sz w:val="28"/>
        </w:rPr>
        <w:t>поздн</w:t>
      </w:r>
      <w:r>
        <w:rPr>
          <w:spacing w:val="-8"/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pacing w:val="-8"/>
          <w:sz w:val="28"/>
        </w:rPr>
        <w:t>ч</w:t>
      </w:r>
      <w:r>
        <w:rPr>
          <w:spacing w:val="-8"/>
          <w:sz w:val="28"/>
        </w:rPr>
        <w:t>ем</w:t>
      </w:r>
      <w:r>
        <w:rPr>
          <w:sz w:val="28"/>
        </w:rPr>
        <w:t xml:space="preserve"> </w:t>
      </w:r>
      <w:r>
        <w:rPr>
          <w:sz w:val="28"/>
        </w:rPr>
        <w:t>ч</w:t>
      </w:r>
      <w:r>
        <w:rPr>
          <w:spacing w:val="-8"/>
          <w:sz w:val="28"/>
        </w:rPr>
        <w:t>ерез</w:t>
      </w:r>
      <w:r>
        <w:rPr>
          <w:spacing w:val="-5"/>
          <w:sz w:val="28"/>
        </w:rPr>
        <w:t xml:space="preserve"> </w:t>
      </w:r>
      <w:r>
        <w:rPr>
          <w:spacing w:val="-8"/>
          <w:sz w:val="28"/>
        </w:rPr>
        <w:t>пять</w:t>
      </w:r>
      <w:r>
        <w:rPr>
          <w:sz w:val="28"/>
        </w:rPr>
        <w:t xml:space="preserve"> </w:t>
      </w:r>
      <w:r>
        <w:rPr>
          <w:spacing w:val="-8"/>
          <w:sz w:val="28"/>
        </w:rPr>
        <w:t>лет</w:t>
      </w:r>
      <w:r>
        <w:rPr>
          <w:spacing w:val="-3"/>
          <w:sz w:val="28"/>
        </w:rPr>
        <w:t xml:space="preserve"> </w:t>
      </w:r>
      <w:r>
        <w:rPr>
          <w:spacing w:val="-8"/>
          <w:sz w:val="28"/>
        </w:rPr>
        <w:t>после</w:t>
      </w:r>
      <w:r>
        <w:rPr>
          <w:spacing w:val="-1"/>
          <w:sz w:val="28"/>
        </w:rPr>
        <w:t xml:space="preserve"> </w:t>
      </w:r>
      <w:r>
        <w:rPr>
          <w:spacing w:val="-8"/>
          <w:sz w:val="28"/>
        </w:rPr>
        <w:t>срока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проведения</w:t>
      </w:r>
      <w:r>
        <w:rPr>
          <w:spacing w:val="6"/>
          <w:sz w:val="28"/>
        </w:rPr>
        <w:t xml:space="preserve"> </w:t>
      </w:r>
      <w:r>
        <w:rPr>
          <w:spacing w:val="-8"/>
          <w:sz w:val="28"/>
        </w:rPr>
        <w:t>государственной</w:t>
      </w:r>
      <w:r>
        <w:rPr>
          <w:spacing w:val="-6"/>
          <w:sz w:val="28"/>
        </w:rPr>
        <w:t xml:space="preserve"> </w:t>
      </w:r>
      <w:r>
        <w:rPr>
          <w:spacing w:val="-8"/>
          <w:sz w:val="28"/>
        </w:rPr>
        <w:t>итоговой</w:t>
      </w:r>
      <w:r>
        <w:rPr>
          <w:sz w:val="28"/>
        </w:rPr>
        <w:t xml:space="preserve"> </w:t>
      </w:r>
      <w:r>
        <w:rPr>
          <w:spacing w:val="-8"/>
          <w:sz w:val="28"/>
        </w:rPr>
        <w:t>аттестации</w:t>
      </w:r>
      <w:r>
        <w:rPr>
          <w:spacing w:val="-8"/>
          <w:sz w:val="28"/>
        </w:rPr>
        <w:t xml:space="preserve">, </w:t>
      </w:r>
      <w:r>
        <w:rPr>
          <w:sz w:val="28"/>
        </w:rPr>
        <w:t>к</w:t>
      </w:r>
      <w:r>
        <w:rPr>
          <w:sz w:val="28"/>
        </w:rPr>
        <w:t>оторая не пройдена обучаю</w:t>
      </w:r>
      <w:r>
        <w:rPr>
          <w:sz w:val="28"/>
        </w:rPr>
        <w:t xml:space="preserve">щимся. Указанное </w:t>
      </w:r>
      <w:r>
        <w:rPr>
          <w:sz w:val="28"/>
        </w:rPr>
        <w:t>лицо может повторно пройт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pacing w:val="-6"/>
          <w:sz w:val="28"/>
        </w:rPr>
        <w:t>государственную</w:t>
      </w:r>
      <w:r>
        <w:rPr>
          <w:spacing w:val="-16"/>
          <w:sz w:val="28"/>
        </w:rPr>
        <w:t xml:space="preserve"> </w:t>
      </w:r>
      <w:r>
        <w:rPr>
          <w:spacing w:val="-6"/>
          <w:sz w:val="28"/>
        </w:rPr>
        <w:t>ит</w:t>
      </w:r>
      <w:r>
        <w:rPr>
          <w:spacing w:val="-6"/>
          <w:sz w:val="28"/>
        </w:rPr>
        <w:t>оговую</w:t>
      </w:r>
      <w:r>
        <w:rPr>
          <w:spacing w:val="9"/>
          <w:sz w:val="28"/>
        </w:rPr>
        <w:t xml:space="preserve"> </w:t>
      </w:r>
      <w:r>
        <w:rPr>
          <w:spacing w:val="-6"/>
          <w:sz w:val="28"/>
        </w:rPr>
        <w:t>аттестацию</w:t>
      </w:r>
      <w:r>
        <w:rPr>
          <w:spacing w:val="10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более двух раз.</w:t>
      </w:r>
    </w:p>
    <w:p w14:paraId="71000000">
      <w:pPr>
        <w:pStyle w:val="Style_1"/>
        <w:widowControl w:val="1"/>
        <w:ind w:firstLine="567"/>
        <w:rPr>
          <w:spacing w:val="-6"/>
          <w:sz w:val="28"/>
        </w:rPr>
      </w:pPr>
      <w:r>
        <w:rPr>
          <w:color w:val="0C0C0C"/>
          <w:sz w:val="28"/>
        </w:rPr>
        <w:t>Для</w:t>
      </w:r>
      <w:r>
        <w:rPr>
          <w:color w:val="0C0C0C"/>
          <w:spacing w:val="-13"/>
          <w:sz w:val="28"/>
        </w:rPr>
        <w:t xml:space="preserve"> </w:t>
      </w:r>
      <w:r>
        <w:rPr>
          <w:sz w:val="28"/>
        </w:rPr>
        <w:t>повторн</w:t>
      </w:r>
      <w:r>
        <w:rPr>
          <w:sz w:val="28"/>
        </w:rPr>
        <w:t>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</w:t>
      </w:r>
      <w:r>
        <w:rPr>
          <w:sz w:val="28"/>
        </w:rPr>
        <w:t>о</w:t>
      </w:r>
      <w:r>
        <w:rPr>
          <w:sz w:val="28"/>
        </w:rPr>
        <w:t>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>тоговой</w:t>
      </w:r>
      <w:r>
        <w:rPr>
          <w:spacing w:val="-6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указанное лицо по его заявлению</w:t>
      </w:r>
      <w:r>
        <w:rPr>
          <w:sz w:val="28"/>
        </w:rPr>
        <w:t xml:space="preserve"> восстанавливается в орга</w:t>
      </w:r>
      <w:r>
        <w:rPr>
          <w:sz w:val="28"/>
        </w:rPr>
        <w:t>низации на период времени, установленный органи</w:t>
      </w:r>
      <w:r>
        <w:rPr>
          <w:sz w:val="28"/>
        </w:rPr>
        <w:t>зацией, но не менее периода време</w:t>
      </w:r>
      <w:r>
        <w:rPr>
          <w:sz w:val="28"/>
        </w:rPr>
        <w:t>ни, предусмотренного календарным учебн</w:t>
      </w:r>
      <w:r>
        <w:rPr>
          <w:sz w:val="28"/>
        </w:rPr>
        <w:t>ым графи</w:t>
      </w:r>
      <w:r>
        <w:rPr>
          <w:sz w:val="28"/>
        </w:rPr>
        <w:t>ком для государственной итоговой атт</w:t>
      </w:r>
      <w:r>
        <w:rPr>
          <w:sz w:val="28"/>
        </w:rPr>
        <w:t xml:space="preserve">естации </w:t>
      </w:r>
      <w:r>
        <w:rPr>
          <w:color w:val="111111"/>
          <w:sz w:val="28"/>
        </w:rPr>
        <w:t xml:space="preserve">по </w:t>
      </w:r>
      <w:r>
        <w:rPr>
          <w:spacing w:val="-6"/>
          <w:sz w:val="28"/>
        </w:rPr>
        <w:t>соответствующей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образовательной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программе.</w:t>
      </w:r>
      <w:r>
        <w:rPr>
          <w:spacing w:val="-6"/>
          <w:sz w:val="28"/>
        </w:rPr>
        <w:t xml:space="preserve"> </w:t>
      </w:r>
    </w:p>
    <w:p w14:paraId="72000000">
      <w:pPr>
        <w:pStyle w:val="Style_1"/>
        <w:widowControl w:val="1"/>
        <w:ind w:firstLine="567"/>
        <w:rPr>
          <w:b w:val="1"/>
          <w:sz w:val="28"/>
        </w:rPr>
      </w:pPr>
      <w:r>
        <w:rPr>
          <w:b w:val="1"/>
          <w:spacing w:val="-6"/>
          <w:sz w:val="28"/>
        </w:rPr>
        <w:t>IV</w:t>
      </w:r>
      <w:r>
        <w:rPr>
          <w:b w:val="1"/>
          <w:spacing w:val="-6"/>
          <w:sz w:val="28"/>
        </w:rPr>
        <w:t>.</w:t>
      </w:r>
      <w:r>
        <w:rPr>
          <w:b w:val="1"/>
          <w:spacing w:val="-6"/>
          <w:sz w:val="28"/>
        </w:rPr>
        <w:t xml:space="preserve"> </w:t>
      </w:r>
      <w:r>
        <w:rPr>
          <w:b w:val="1"/>
          <w:spacing w:val="-6"/>
          <w:sz w:val="28"/>
        </w:rPr>
        <w:t>Порядок рассмотрения апел</w:t>
      </w:r>
      <w:r>
        <w:rPr>
          <w:b w:val="1"/>
          <w:spacing w:val="-6"/>
          <w:sz w:val="28"/>
        </w:rPr>
        <w:t>л</w:t>
      </w:r>
      <w:r>
        <w:rPr>
          <w:b w:val="1"/>
          <w:spacing w:val="-6"/>
          <w:sz w:val="28"/>
        </w:rPr>
        <w:t>яций</w:t>
      </w:r>
    </w:p>
    <w:p w14:paraId="73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По результатам государственных аттестационных испытаний обучающийся имеет право подать в апелляционную комиссию письменную апелляцию о нарушении, по его мнению, установленной процедуры проведения государственного аттестационного испытания и (или) несогласии с результатами государственного экзамена.</w:t>
      </w:r>
    </w:p>
    <w:p w14:paraId="74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Апелляция подается лично обучающимся в апелляционную комиссию не позднее следующего рабочего дня после объявления результатов государственного аттестационного испытания.</w:t>
      </w:r>
    </w:p>
    <w:p w14:paraId="75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Для рассмотрения апелляции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комиссии, заключение председателя государственной экзаменационной комиссии о соблюдении процедурных вопросов при проведении государственного аттестационного испытания, а также письменные ответы обучающегося (при их наличии) (для рассмотрения апелляции по проведению государственного экзамена).</w:t>
      </w:r>
    </w:p>
    <w:p w14:paraId="76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Апелляция не позднее 2 рабочих дней со дня подачи рассматривается на заседании апелляционной комиссии, на которое приглашаются председатель государственной экзаменационной комиссии и обучающийся, подавший апелляцию. Заседание апелляционной комиссии может проводиться в отсутствие обучающегося, подавшего апелляцию, в случае его неявки на заседание</w:t>
      </w:r>
      <w:r>
        <w:rPr>
          <w:sz w:val="28"/>
        </w:rPr>
        <w:t xml:space="preserve"> </w:t>
      </w:r>
      <w:r>
        <w:rPr>
          <w:sz w:val="28"/>
        </w:rPr>
        <w:t>апелляционной комиссии.</w:t>
      </w:r>
    </w:p>
    <w:p w14:paraId="77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Решение апелляционной комиссии доводится до сведения обучающегося, подавшего апелляцию, в течение 3 рабочих дней со дня заседания апелляционной комиссии. Факт ознакомления обучающегося, подавшего апелляцию, с решением апелляционной комиссии удостоверяется подписью обучающегося.</w:t>
      </w:r>
    </w:p>
    <w:p w14:paraId="78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При рассмотрении апелляции о нарушении процедуры проведения государственного аттестационного испытания апелляционная комиссия принимает одно из следующих решений:</w:t>
      </w:r>
    </w:p>
    <w:p w14:paraId="79000000">
      <w:pPr>
        <w:widowControl w:val="1"/>
        <w:numPr>
          <w:ilvl w:val="0"/>
          <w:numId w:val="1"/>
        </w:numPr>
        <w:ind w:firstLine="567" w:left="0"/>
        <w:jc w:val="both"/>
        <w:rPr>
          <w:sz w:val="28"/>
        </w:rPr>
      </w:pPr>
      <w:r>
        <w:rPr>
          <w:sz w:val="28"/>
        </w:rPr>
        <w:t>об отклонении апелляции, если изложенные в ней сведения о нарушениях процедуры проведения государственного аттестационного испытания, обучающегося не подтвердились и (или) не повлияли на результат государственного аттестационного испытания;</w:t>
      </w:r>
    </w:p>
    <w:p w14:paraId="7A000000">
      <w:pPr>
        <w:widowControl w:val="1"/>
        <w:numPr>
          <w:ilvl w:val="0"/>
          <w:numId w:val="1"/>
        </w:numPr>
        <w:ind w:firstLine="567" w:left="0"/>
        <w:jc w:val="both"/>
        <w:rPr>
          <w:sz w:val="28"/>
        </w:rPr>
      </w:pPr>
      <w:r>
        <w:rPr>
          <w:sz w:val="28"/>
        </w:rPr>
        <w:t>об удовлетворении апелляции, если изложенные в ней сведения о допущенных нарушениях процедуры проведения государственного аттестационного испытания, обучающегося подтвердились и повлияли на результат государственного аттестационного испытания.</w:t>
      </w:r>
    </w:p>
    <w:p w14:paraId="7B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В случае, указанном в абзаце третьем настоящего пункта, результат проведения государственного аттестационного испытания подлежит аннулированию, в связи</w:t>
      </w:r>
      <w:r>
        <w:rPr>
          <w:sz w:val="28"/>
        </w:rPr>
        <w:t>,</w:t>
      </w:r>
      <w:r>
        <w:rPr>
          <w:sz w:val="28"/>
        </w:rPr>
        <w:t xml:space="preserve"> с чем протокол о рассмотрении апелляции не позднее следующего рабочего дня передается в государственную экзаменационную комиссию для реализации решения апелляционной комиссии. Обучающемуся предоставляется возможность пройти государственное аттестационное испытание в сроки, установленные образовательной организацией.</w:t>
      </w:r>
    </w:p>
    <w:p w14:paraId="7C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При рассмотрении апелляции о несогласии с результатами государственного аттестационного испытания апелляционная комиссия выносит одно из следующих решений:</w:t>
      </w:r>
    </w:p>
    <w:p w14:paraId="7D000000">
      <w:pPr>
        <w:widowControl w:val="1"/>
        <w:numPr>
          <w:ilvl w:val="0"/>
          <w:numId w:val="2"/>
        </w:numPr>
        <w:ind w:firstLine="567" w:left="0"/>
        <w:jc w:val="both"/>
        <w:rPr>
          <w:sz w:val="28"/>
        </w:rPr>
      </w:pPr>
      <w:r>
        <w:rPr>
          <w:sz w:val="28"/>
        </w:rPr>
        <w:t>об отклонении апелляции и сохранении результата государственного аттестационного испытания;</w:t>
      </w:r>
    </w:p>
    <w:p w14:paraId="7E000000">
      <w:pPr>
        <w:widowControl w:val="1"/>
        <w:numPr>
          <w:ilvl w:val="0"/>
          <w:numId w:val="2"/>
        </w:numPr>
        <w:ind w:firstLine="567" w:left="0"/>
        <w:jc w:val="both"/>
        <w:rPr>
          <w:sz w:val="28"/>
        </w:rPr>
      </w:pPr>
      <w:r>
        <w:rPr>
          <w:sz w:val="28"/>
        </w:rPr>
        <w:t>об удовлетворении апелляции и выставлении иного результата государственного аттестационного испытания.</w:t>
      </w:r>
    </w:p>
    <w:p w14:paraId="7F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Решение апелляционной комиссии не позднее следующего рабочего дня передается в государственную экзаменационную комиссию. Решение апелляционной комиссии является основанием для аннулирования ранее выставленного результата государственного аттестационного испытания и выставления нового.</w:t>
      </w:r>
    </w:p>
    <w:p w14:paraId="80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Решение апелляционной комиссии является окончательным и пересмотру не подлежит.</w:t>
      </w:r>
    </w:p>
    <w:p w14:paraId="81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Повторное проведение государственного аттестационного испытания обучающегося, подавшего апелляцию, осуществляется в присутствии председателя или одного из членов апелляционной комиссии не позднее даты завершения обучения в университете в соответствии со стандартом.</w:t>
      </w:r>
    </w:p>
    <w:p w14:paraId="82000000">
      <w:pPr>
        <w:widowControl w:val="1"/>
        <w:ind w:firstLine="567"/>
        <w:jc w:val="both"/>
        <w:rPr>
          <w:sz w:val="28"/>
        </w:rPr>
      </w:pPr>
      <w:r>
        <w:rPr>
          <w:sz w:val="28"/>
        </w:rPr>
        <w:t>Апелляция на</w:t>
      </w:r>
      <w:r>
        <w:rPr>
          <w:sz w:val="28"/>
        </w:rPr>
        <w:t xml:space="preserve"> </w:t>
      </w:r>
      <w:r>
        <w:rPr>
          <w:sz w:val="28"/>
        </w:rPr>
        <w:t>повторное проведение государственного аттестационного испытания не принимается.</w:t>
      </w:r>
    </w:p>
    <w:p w14:paraId="83000000">
      <w:pPr>
        <w:pStyle w:val="Style_5"/>
        <w:widowControl w:val="1"/>
        <w:tabs>
          <w:tab w:leader="none" w:pos="567" w:val="left"/>
        </w:tabs>
        <w:ind w:left="0"/>
        <w:rPr>
          <w:sz w:val="28"/>
        </w:rPr>
      </w:pPr>
      <w:r>
        <w:rPr>
          <w:sz w:val="28"/>
        </w:rPr>
        <w:t xml:space="preserve">       </w:t>
      </w:r>
    </w:p>
    <w:p w14:paraId="84000000">
      <w:pPr>
        <w:pStyle w:val="Style_5"/>
        <w:widowControl w:val="1"/>
        <w:tabs>
          <w:tab w:leader="none" w:pos="567" w:val="left"/>
        </w:tabs>
        <w:ind w:left="0"/>
        <w:rPr>
          <w:b w:val="0"/>
          <w:sz w:val="28"/>
        </w:rPr>
      </w:pPr>
      <w:r>
        <w:rPr>
          <w:sz w:val="28"/>
        </w:rPr>
        <w:t>V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Компетенции обучающ</w:t>
      </w:r>
      <w:r>
        <w:rPr>
          <w:sz w:val="28"/>
        </w:rPr>
        <w:t xml:space="preserve">егося, проверяемые </w:t>
      </w:r>
      <w:r>
        <w:rPr>
          <w:color w:val="313131"/>
          <w:sz w:val="28"/>
        </w:rPr>
        <w:t xml:space="preserve">в </w:t>
      </w:r>
      <w:r>
        <w:rPr>
          <w:sz w:val="28"/>
        </w:rPr>
        <w:t>результате пров</w:t>
      </w:r>
      <w:r>
        <w:rPr>
          <w:sz w:val="28"/>
        </w:rPr>
        <w:t>едения государственной итоговой</w:t>
      </w:r>
      <w:r>
        <w:rPr>
          <w:sz w:val="28"/>
        </w:rPr>
        <w:t xml:space="preserve"> аттестации</w:t>
      </w:r>
    </w:p>
    <w:p w14:paraId="85000000">
      <w:pPr>
        <w:widowControl w:val="1"/>
        <w:tabs>
          <w:tab w:leader="none" w:pos="1387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31.02.06 Стоматология профилактическая для профессиональной образовательной организации и образовательной организации </w:t>
      </w:r>
      <w:r>
        <w:rPr>
          <w:color w:themeColor="text1" w:val="000000"/>
          <w:sz w:val="28"/>
        </w:rPr>
        <w:t xml:space="preserve">среднего профессионального </w:t>
      </w:r>
      <w:r>
        <w:rPr>
          <w:color w:themeColor="text1" w:val="000000"/>
          <w:sz w:val="28"/>
        </w:rPr>
        <w:t xml:space="preserve">образования, которые имеют право на реализацию имеющих государственную аккредитацию программ подготовки специалистов среднего звена по данной специальности, на территории Российской Федерации (далее - образовательная организация). </w:t>
      </w:r>
    </w:p>
    <w:p w14:paraId="86000000">
      <w:pPr>
        <w:widowControl w:val="1"/>
        <w:tabs>
          <w:tab w:leader="none" w:pos="1387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4.1. Область профессиональной деятельности выпускников: оказание профилактической стоматологической помощи пациентам лечебно-профилактических учреждений и контингенту организованных коллективов.</w:t>
      </w:r>
    </w:p>
    <w:p w14:paraId="87000000">
      <w:pPr>
        <w:widowControl w:val="1"/>
        <w:tabs>
          <w:tab w:leader="none" w:pos="1387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4.2. Объектами профессиональной деятельности выпускников являются:</w:t>
      </w:r>
    </w:p>
    <w:p w14:paraId="88000000">
      <w:pPr>
        <w:widowControl w:val="1"/>
        <w:tabs>
          <w:tab w:leader="none" w:pos="1387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детское и взрослое население, нуждающееся в оказании профилактической стоматологической помощи; первичные трудовые коллективы.</w:t>
      </w:r>
    </w:p>
    <w:p w14:paraId="89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5.1. Гигиенист стоматологический должен обладать общими компетенциями, включающими в себя способность:</w:t>
      </w:r>
    </w:p>
    <w:p w14:paraId="8A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1. Понимать сущность и социальную значимость своей будущей профессии, проявлять к ней устойчивый профессиональный интерес.</w:t>
      </w:r>
    </w:p>
    <w:p w14:paraId="8B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качество и эффективность.</w:t>
      </w:r>
    </w:p>
    <w:p w14:paraId="8C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3. Принимать решения в стандартных и нестандартных ситуациях и нести за них ответственность.</w:t>
      </w:r>
    </w:p>
    <w:p w14:paraId="8D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4. Осуществлять поиск и использование информации, необходимой для профессионального и личностного развития с целью эффективного выполнения профессиональных задач.</w:t>
      </w:r>
    </w:p>
    <w:p w14:paraId="8E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5. Использовать информационно-коммуникационные технологии в профессиональной деятельности.</w:t>
      </w:r>
    </w:p>
    <w:p w14:paraId="8F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6. Работать в коллективе и команде, эффективно общаться с коллегами, руководством, потребителями.</w:t>
      </w:r>
    </w:p>
    <w:p w14:paraId="90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7. Брать на себя ответственность за работу членов команды (подчиненных) и результат выполнения заданий.</w:t>
      </w:r>
    </w:p>
    <w:p w14:paraId="91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92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9. Ориентироваться в условиях частой смены технологий в профессиональной деятельности.</w:t>
      </w:r>
    </w:p>
    <w:p w14:paraId="93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94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11. Быть готовым брать на себя нравственные обязательства по отношению к природе, обществу и человеку.</w:t>
      </w:r>
    </w:p>
    <w:p w14:paraId="95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12. Оказывать первую (доврачебную) медицинскую помощь при неотложных состояниях.</w:t>
      </w:r>
    </w:p>
    <w:p w14:paraId="96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 xml:space="preserve">ОК 13. Организовывать рабочее место с соблюдением требований охраны </w:t>
      </w:r>
      <w:r>
        <w:rPr>
          <w:color w:themeColor="text1" w:val="000000"/>
          <w:sz w:val="28"/>
        </w:rPr>
        <w:t>труда, производственной санитарии, инфекционной и противопожарной безопасности.</w:t>
      </w:r>
    </w:p>
    <w:p w14:paraId="97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ОК 14.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98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5.2. Гигиенист стоматологический должен обладать профессиональными компетенциями, соответствующими видам деятельности:</w:t>
      </w:r>
    </w:p>
    <w:p w14:paraId="99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5.2.1. Диагностика и профилактика стоматологических заболеваний.</w:t>
      </w:r>
    </w:p>
    <w:p w14:paraId="9A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1.1. Регистрировать данные эпидемиологического стоматологического обследования населения.</w:t>
      </w:r>
    </w:p>
    <w:p w14:paraId="9B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1.2. Осуществлять сбор данных о состоянии здоровья населения пациента и проводить осмотр полости рта.</w:t>
      </w:r>
    </w:p>
    <w:p w14:paraId="9C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1.3. Выявлять факторы риска возникновения стоматологических заболеваний.</w:t>
      </w:r>
    </w:p>
    <w:p w14:paraId="9D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1.4. Проводить профилактику стоматологических заболеваний.</w:t>
      </w:r>
    </w:p>
    <w:p w14:paraId="9E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1.5. Вести медицинскую документацию.</w:t>
      </w:r>
    </w:p>
    <w:p w14:paraId="9F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1.6. Соблюдать установленные требования к хранению и использованию средств гигиены и профилактики, правилам работы и контролю за состоянием медицинского стоматологического оборудования, инструментария.</w:t>
      </w:r>
    </w:p>
    <w:p w14:paraId="A0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1.7. Оказывать первую медицинскую помощь при неотложных состояниях.</w:t>
      </w:r>
    </w:p>
    <w:p w14:paraId="A1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5.2.2. Проведение индивидуальной и профессиональной гигиены полости рта.</w:t>
      </w:r>
    </w:p>
    <w:p w14:paraId="A2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2.1. Оценивать состояние тканей пародонта и гигиены полости рта.</w:t>
      </w:r>
    </w:p>
    <w:p w14:paraId="A3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2.2. Обучать пациентов уходу за полостью рта и применению средств гигиены, оценивать эффективность проводимых мероприятий.</w:t>
      </w:r>
    </w:p>
    <w:p w14:paraId="A4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2.3. Осуществлять индивидуальный подбор средств гигиены полости рта в зависимости от возраста и состояния здоровья пациента.</w:t>
      </w:r>
    </w:p>
    <w:p w14:paraId="A5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2.4. Осуществлять профессиональную гигиену полости рта.</w:t>
      </w:r>
    </w:p>
    <w:p w14:paraId="A6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5.2.3. Санитарно-гигиеническое просвещение в области профилактики стоматологических заболеваний.</w:t>
      </w:r>
    </w:p>
    <w:p w14:paraId="A7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3.1. Проводить мероприятия по стоматологическому просвещению населения.</w:t>
      </w:r>
    </w:p>
    <w:p w14:paraId="A8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3.2. Консультировать работников школьно-дошкольных, образовательных организаций и семью по вопросам профилактики основных стоматологических заболеваний.</w:t>
      </w:r>
    </w:p>
    <w:p w14:paraId="A9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3.3. Оценивать эффективность мероприятий по стоматологическому просвещению.</w:t>
      </w:r>
    </w:p>
    <w:p w14:paraId="AA000000">
      <w:pPr>
        <w:widowControl w:val="1"/>
        <w:tabs>
          <w:tab w:leader="none" w:pos="1293" w:val="left"/>
        </w:tabs>
        <w:ind/>
        <w:jc w:val="both"/>
        <w:rPr>
          <w:color w:themeColor="text1" w:val="000000"/>
          <w:sz w:val="28"/>
        </w:rPr>
      </w:pPr>
      <w:r>
        <w:rPr>
          <w:color w:themeColor="text1" w:val="000000"/>
          <w:sz w:val="28"/>
        </w:rPr>
        <w:t>ПК 3.4. Формировать мотивацию к здоровому образу жизни.</w:t>
      </w:r>
    </w:p>
    <w:p w14:paraId="AB000000">
      <w:pPr>
        <w:widowControl w:val="1"/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z w:val="28"/>
        </w:rPr>
        <w:t>6.1 Программа подготовки специалистов среднего звена</w:t>
      </w:r>
      <w:r>
        <w:rPr>
          <w:color w:themeColor="text1" w:val="000000"/>
          <w:sz w:val="28"/>
        </w:rPr>
        <w:t xml:space="preserve"> </w:t>
      </w:r>
      <w:r>
        <w:rPr>
          <w:color w:themeColor="text1" w:val="000000"/>
          <w:sz w:val="28"/>
        </w:rPr>
        <w:t>(</w:t>
      </w:r>
      <w:r>
        <w:rPr>
          <w:color w:themeColor="text1" w:val="000000"/>
          <w:sz w:val="28"/>
        </w:rPr>
        <w:t xml:space="preserve">далее - </w:t>
      </w:r>
      <w:r>
        <w:rPr>
          <w:color w:themeColor="text1" w:val="000000"/>
          <w:sz w:val="28"/>
        </w:rPr>
        <w:t>ППССЗ)</w:t>
      </w:r>
      <w:r>
        <w:rPr>
          <w:rFonts w:ascii="Arial" w:hAnsi="Arial"/>
          <w:color w:themeColor="text1" w:val="000000"/>
          <w:spacing w:val="-2"/>
          <w:sz w:val="20"/>
          <w:highlight w:val="white"/>
        </w:rPr>
        <w:t xml:space="preserve"> </w:t>
      </w:r>
      <w:r>
        <w:rPr>
          <w:color w:themeColor="text1" w:val="000000"/>
          <w:sz w:val="28"/>
        </w:rPr>
        <w:t xml:space="preserve">предусматривает изучение следующих учебных циклов: </w:t>
      </w:r>
      <w:r>
        <w:rPr>
          <w:color w:themeColor="text1" w:val="000000"/>
          <w:spacing w:val="-2"/>
          <w:sz w:val="28"/>
        </w:rPr>
        <w:t>общего гуманитарного и социально-экономического;</w:t>
      </w:r>
      <w:r>
        <w:rPr>
          <w:color w:themeColor="text1" w:val="000000"/>
          <w:sz w:val="28"/>
        </w:rPr>
        <w:t xml:space="preserve"> </w:t>
      </w:r>
      <w:r>
        <w:rPr>
          <w:color w:themeColor="text1" w:val="000000"/>
          <w:spacing w:val="-2"/>
          <w:sz w:val="28"/>
        </w:rPr>
        <w:t>математического и общего естественнонаучного;</w:t>
      </w:r>
      <w:r>
        <w:rPr>
          <w:color w:themeColor="text1" w:val="000000"/>
          <w:sz w:val="28"/>
        </w:rPr>
        <w:t xml:space="preserve"> </w:t>
      </w:r>
      <w:r>
        <w:rPr>
          <w:color w:themeColor="text1" w:val="000000"/>
          <w:spacing w:val="-2"/>
          <w:sz w:val="28"/>
        </w:rPr>
        <w:t>профессионального;</w:t>
      </w:r>
      <w:r>
        <w:rPr>
          <w:color w:themeColor="text1" w:val="000000"/>
          <w:spacing w:val="-2"/>
          <w:sz w:val="28"/>
        </w:rPr>
        <w:t xml:space="preserve"> </w:t>
      </w:r>
      <w:r>
        <w:rPr>
          <w:color w:themeColor="text1" w:val="000000"/>
          <w:spacing w:val="-2"/>
          <w:sz w:val="28"/>
        </w:rPr>
        <w:t xml:space="preserve">и разделов: учебная практика; производственная практика (по профилю специальности); производственная практика (преддипломная); промежуточная аттестация; государственная </w:t>
      </w:r>
      <w:r>
        <w:rPr>
          <w:color w:themeColor="text1" w:val="000000"/>
          <w:spacing w:val="-2"/>
          <w:sz w:val="28"/>
        </w:rPr>
        <w:t>итоговая аттестация.</w:t>
      </w:r>
    </w:p>
    <w:p w14:paraId="AC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6.2. Обязательная часть ППССЗ по учебным циклам должна составлять около 70 процентов от общего объема времени, отведенного на их освоение. Вариативная часть (около 30 процентов) дает возможность расширения и (или) углубления подготовки, определяемой содержанием обязательной части, получения дополнительных компетенций, умений и знаний,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 Дисциплины, междисциплинарные курсы и профессиональные модули вариативной части определяются образовательной организацией.</w:t>
      </w:r>
    </w:p>
    <w:p w14:paraId="AD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Общий гуманитарный и социально-экономический учебные циклы состоят из дисциплин.</w:t>
      </w:r>
    </w:p>
    <w:p w14:paraId="AE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Профессиональный учебный цикл состоит из общепрофессиональных дисциплин и профессиональных модулей в соответствии с видами деятельности. В состав профессионального модуля входит один или несколько междисциплинарных курсов. При освоении обучающимися профессиональных модулей проводятся учебная и (или) производственная практика (по профилю специальности).</w:t>
      </w:r>
    </w:p>
    <w:p w14:paraId="AF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6.3. Обязательная часть общего гуманитарного и социально-экономического учебного цикла ППССЗ базовой подготовки должна предусматривать изучение следующих обязательных дисциплин - "Основы философии", "История", "Психология общения", "Иностранный язык", "Физическая культура".</w:t>
      </w:r>
    </w:p>
    <w:p w14:paraId="B0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Обязательная часть профессионального учебного цикла ППССЗ базовой подготовки должна предусматривать изучение дисциплины "Безопасность жизнедеятельности". Объем часов на дисциплину "Безопасность жизнедеятельности" составляет 68 часов, из них на освоение основ военной службы - 48 часов.</w:t>
      </w:r>
    </w:p>
    <w:p w14:paraId="B1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Дисциплина "Физическая культура" реализуется в порядке, установленном образовательной организацией. 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"Физическая культура"</w:t>
      </w:r>
      <w:r>
        <w:rPr>
          <w:color w:themeColor="text1" w:val="000000"/>
          <w:spacing w:val="-2"/>
          <w:sz w:val="28"/>
        </w:rPr>
        <w:t xml:space="preserve"> с учетом состояния их здоровья </w:t>
      </w:r>
      <w:r>
        <w:rPr>
          <w:color w:themeColor="text1" w:val="000000"/>
          <w:spacing w:val="-2"/>
          <w:sz w:val="28"/>
        </w:rPr>
        <w:t>(абзац введен Приказом Минобрнауки России от 24.07.2015 № 754)</w:t>
      </w:r>
      <w:r>
        <w:rPr>
          <w:color w:themeColor="text1" w:val="000000"/>
          <w:spacing w:val="-2"/>
          <w:sz w:val="28"/>
        </w:rPr>
        <w:t>.</w:t>
      </w:r>
    </w:p>
    <w:p w14:paraId="B2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color w:themeColor="text1" w:val="000000"/>
          <w:spacing w:val="-2"/>
          <w:sz w:val="28"/>
        </w:rPr>
      </w:pPr>
      <w:r>
        <w:rPr>
          <w:color w:themeColor="text1" w:val="000000"/>
          <w:spacing w:val="-2"/>
          <w:sz w:val="28"/>
        </w:rPr>
        <w:t>6.4. Образовательной организацией при определении структуры ППССЗ и трудоемкости ее освоения может применяться система зачетных единиц, при этом одна зачетная единица соответствует 36 академическим часам.</w:t>
      </w:r>
    </w:p>
    <w:p w14:paraId="B3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4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5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6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7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8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9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A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spacing w:val="-2"/>
          <w:sz w:val="28"/>
        </w:rPr>
      </w:pPr>
    </w:p>
    <w:p w14:paraId="BB00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both"/>
        <w:rPr>
          <w:b w:val="1"/>
          <w:sz w:val="28"/>
        </w:rPr>
      </w:pPr>
      <w:r>
        <w:rPr>
          <w:b w:val="1"/>
          <w:spacing w:val="-2"/>
          <w:sz w:val="28"/>
        </w:rPr>
        <w:t>VI</w:t>
      </w:r>
      <w:r>
        <w:rPr>
          <w:b w:val="1"/>
          <w:spacing w:val="-2"/>
          <w:sz w:val="28"/>
        </w:rPr>
        <w:t xml:space="preserve">. </w:t>
      </w:r>
      <w:r>
        <w:rPr>
          <w:b w:val="1"/>
          <w:spacing w:val="-2"/>
          <w:sz w:val="28"/>
        </w:rPr>
        <w:t>Примеры</w:t>
      </w:r>
      <w:r>
        <w:rPr>
          <w:b w:val="1"/>
          <w:spacing w:val="-2"/>
          <w:sz w:val="28"/>
        </w:rPr>
        <w:t xml:space="preserve"> ситуационных задач</w:t>
      </w:r>
      <w:r>
        <w:rPr>
          <w:b w:val="1"/>
          <w:spacing w:val="-2"/>
          <w:sz w:val="28"/>
        </w:rPr>
        <w:t>,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>вын</w:t>
      </w:r>
      <w:r>
        <w:rPr>
          <w:b w:val="1"/>
          <w:spacing w:val="-2"/>
          <w:sz w:val="28"/>
        </w:rPr>
        <w:t>осимые</w:t>
      </w:r>
      <w:r>
        <w:rPr>
          <w:b w:val="1"/>
          <w:spacing w:val="-2"/>
          <w:sz w:val="28"/>
        </w:rPr>
        <w:t xml:space="preserve"> </w:t>
      </w:r>
      <w:r>
        <w:rPr>
          <w:b w:val="1"/>
          <w:color w:val="1D1D1D"/>
          <w:spacing w:val="-6"/>
          <w:sz w:val="28"/>
        </w:rPr>
        <w:t>н</w:t>
      </w:r>
      <w:r>
        <w:rPr>
          <w:b w:val="1"/>
          <w:color w:val="1D1D1D"/>
          <w:spacing w:val="-6"/>
          <w:sz w:val="28"/>
        </w:rPr>
        <w:t>а</w:t>
      </w:r>
      <w:r>
        <w:rPr>
          <w:b w:val="1"/>
          <w:color w:val="1D1D1D"/>
          <w:spacing w:val="-6"/>
          <w:sz w:val="28"/>
        </w:rPr>
        <w:t xml:space="preserve"> </w:t>
      </w:r>
      <w:r>
        <w:rPr>
          <w:b w:val="1"/>
          <w:spacing w:val="-2"/>
          <w:sz w:val="28"/>
        </w:rPr>
        <w:t>гос</w:t>
      </w:r>
      <w:r>
        <w:rPr>
          <w:b w:val="1"/>
          <w:spacing w:val="-2"/>
          <w:sz w:val="28"/>
        </w:rPr>
        <w:t>ударстве</w:t>
      </w:r>
      <w:r>
        <w:rPr>
          <w:b w:val="1"/>
          <w:spacing w:val="-2"/>
          <w:sz w:val="28"/>
        </w:rPr>
        <w:t>нн</w:t>
      </w:r>
      <w:r>
        <w:rPr>
          <w:b w:val="1"/>
          <w:spacing w:val="-2"/>
          <w:sz w:val="28"/>
        </w:rPr>
        <w:t>ую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>и</w:t>
      </w:r>
      <w:r>
        <w:rPr>
          <w:b w:val="1"/>
          <w:spacing w:val="-2"/>
          <w:sz w:val="28"/>
        </w:rPr>
        <w:t>тоговую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6"/>
          <w:sz w:val="28"/>
        </w:rPr>
        <w:t>аттестац</w:t>
      </w:r>
      <w:r>
        <w:rPr>
          <w:b w:val="1"/>
          <w:spacing w:val="-6"/>
          <w:sz w:val="28"/>
        </w:rPr>
        <w:t>и</w:t>
      </w:r>
      <w:r>
        <w:rPr>
          <w:b w:val="1"/>
          <w:spacing w:val="-6"/>
          <w:sz w:val="28"/>
        </w:rPr>
        <w:t xml:space="preserve">ю </w:t>
      </w:r>
      <w:r>
        <w:rPr>
          <w:b w:val="1"/>
          <w:sz w:val="28"/>
        </w:rPr>
        <w:t>выпускни</w:t>
      </w:r>
      <w:r>
        <w:rPr>
          <w:b w:val="1"/>
          <w:sz w:val="28"/>
        </w:rPr>
        <w:t>ков</w:t>
      </w:r>
      <w:r>
        <w:rPr>
          <w:b w:val="1"/>
          <w:spacing w:val="25"/>
          <w:sz w:val="28"/>
        </w:rPr>
        <w:t xml:space="preserve"> </w:t>
      </w:r>
      <w:r>
        <w:rPr>
          <w:b w:val="1"/>
          <w:color w:val="181818"/>
          <w:sz w:val="28"/>
        </w:rPr>
        <w:t xml:space="preserve">по </w:t>
      </w:r>
      <w:r>
        <w:rPr>
          <w:b w:val="1"/>
          <w:sz w:val="28"/>
        </w:rPr>
        <w:t>спе</w:t>
      </w:r>
      <w:r>
        <w:rPr>
          <w:b w:val="1"/>
          <w:sz w:val="28"/>
        </w:rPr>
        <w:t>циальности</w:t>
      </w:r>
      <w:r>
        <w:rPr>
          <w:b w:val="1"/>
          <w:spacing w:val="-16"/>
          <w:sz w:val="28"/>
        </w:rPr>
        <w:t xml:space="preserve"> </w:t>
      </w:r>
      <w:r>
        <w:rPr>
          <w:b w:val="1"/>
          <w:sz w:val="28"/>
        </w:rPr>
        <w:t>3</w:t>
      </w:r>
      <w:r>
        <w:rPr>
          <w:b w:val="1"/>
          <w:sz w:val="28"/>
        </w:rPr>
        <w:t>1</w:t>
      </w:r>
      <w:r>
        <w:rPr>
          <w:b w:val="1"/>
          <w:sz w:val="28"/>
        </w:rPr>
        <w:t>.02.0</w:t>
      </w:r>
      <w:r>
        <w:rPr>
          <w:b w:val="1"/>
          <w:sz w:val="28"/>
        </w:rPr>
        <w:t>6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—</w:t>
      </w:r>
      <w:r>
        <w:rPr>
          <w:b w:val="1"/>
          <w:spacing w:val="-3"/>
          <w:sz w:val="28"/>
        </w:rPr>
        <w:t xml:space="preserve"> </w:t>
      </w:r>
      <w:r>
        <w:rPr>
          <w:b w:val="1"/>
          <w:sz w:val="28"/>
        </w:rPr>
        <w:t>С</w:t>
      </w:r>
      <w:r>
        <w:rPr>
          <w:b w:val="1"/>
          <w:sz w:val="28"/>
        </w:rPr>
        <w:t>томатология профилактическая</w:t>
      </w:r>
    </w:p>
    <w:p w14:paraId="BC000000">
      <w:pPr>
        <w:widowControl w:val="1"/>
        <w:ind/>
        <w:jc w:val="center"/>
        <w:rPr>
          <w:sz w:val="28"/>
        </w:rPr>
      </w:pPr>
    </w:p>
    <w:p w14:paraId="BD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>Клиническая с</w:t>
      </w:r>
      <w:r>
        <w:rPr>
          <w:sz w:val="28"/>
        </w:rPr>
        <w:t xml:space="preserve">итуация: на прием к гигиенисту стоматологическому записался молодой человек 22 лет, студент. </w:t>
      </w:r>
    </w:p>
    <w:p w14:paraId="BE000000">
      <w:pPr>
        <w:pStyle w:val="Style_6"/>
        <w:widowControl w:val="1"/>
        <w:ind w:firstLine="567"/>
        <w:jc w:val="both"/>
        <w:rPr>
          <w:sz w:val="28"/>
        </w:rPr>
      </w:pPr>
      <w:r>
        <w:rPr>
          <w:sz w:val="28"/>
        </w:rPr>
        <w:t>Жалобы: на кровоточивость десен при чистке зубов в течение последних 3 месяцев, неприятный запах изо рта, который он пытается маскировать жевательной резинкой.</w:t>
      </w:r>
    </w:p>
    <w:p w14:paraId="BF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Анамнез: считает себя здоровым, к врачам не обращается. Питание нерегулярное, с обилием кофе и снеков. Курит электронные сигареты (вейпинг). Чистит зубы 1 раз в день, утром, использует жесткую щетку и отбеливающую пасту, так как считает, что зубы недостаточно белые. Зубной нитью и ополаскивателем не пользуется.</w:t>
      </w:r>
    </w:p>
    <w:p w14:paraId="C0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C1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Визуально: десна гиперемирована, отечна, межзубные сосочки с цианотичным оттенком.</w:t>
      </w:r>
    </w:p>
    <w:p w14:paraId="C2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Пародонтологический зонд: кровоточивость при зондировании по всем сегментам, пародонтальные карманы отсутствуют, целостность зубодесневого соединения не нарушена.</w:t>
      </w:r>
    </w:p>
    <w:p w14:paraId="C3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</w:p>
    <w:p w14:paraId="C4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ИГ (Индекс гигиены) по Грину-Вермиллиону – 3.2 (неудовлетворительная гигиена).</w:t>
      </w:r>
    </w:p>
    <w:p w14:paraId="C5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PMA (Папиллярно-маргинально-альвеолярный индекс) – 45% (гингивит средней степени тяжести).</w:t>
      </w:r>
    </w:p>
    <w:p w14:paraId="C6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Назубные отложения: Мягкий пигментированный налет в пришеечной области и на язычных поверхностях нижних зубов, наддесневые зубные камни в области нижних фронтальных зубов и первых моляров.</w:t>
      </w:r>
    </w:p>
    <w:p w14:paraId="C7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C8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Поставьте предварительный диагноз.</w:t>
      </w:r>
    </w:p>
    <w:p w14:paraId="C9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проведения профессиональной гигиены полости рта для данного пациента.</w:t>
      </w:r>
    </w:p>
    <w:p w14:paraId="CA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индивидуальные средства гигиены и обучите правильной технике чистки зубов.</w:t>
      </w:r>
    </w:p>
    <w:p w14:paraId="CB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Дайте рекомендации по модификации образа жизни и определите периодичность поддерживающих процедур.</w:t>
      </w:r>
    </w:p>
    <w:p w14:paraId="CC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Продемонстрируйте технику проведения профессиональной гигиены полости рта</w:t>
      </w:r>
      <w:r>
        <w:rPr>
          <w:sz w:val="28"/>
        </w:rPr>
        <w:t>.</w:t>
      </w:r>
    </w:p>
    <w:p w14:paraId="CD000000">
      <w:pPr>
        <w:pStyle w:val="Style_6"/>
        <w:widowControl w:val="1"/>
        <w:ind/>
        <w:jc w:val="both"/>
        <w:rPr>
          <w:sz w:val="28"/>
        </w:rPr>
      </w:pPr>
    </w:p>
    <w:p w14:paraId="CE000000">
      <w:pPr>
        <w:pStyle w:val="Style_6"/>
        <w:widowControl w:val="1"/>
        <w:tabs>
          <w:tab w:leader="none" w:pos="851" w:val="left"/>
        </w:tabs>
        <w:ind/>
        <w:jc w:val="both"/>
        <w:rPr>
          <w:sz w:val="28"/>
        </w:rPr>
      </w:pPr>
      <w:r>
        <w:rPr>
          <w:sz w:val="28"/>
        </w:rPr>
        <w:t xml:space="preserve">           </w:t>
      </w:r>
      <w:r>
        <w:rPr>
          <w:sz w:val="28"/>
        </w:rPr>
        <w:t>2 Клиническая с</w:t>
      </w:r>
      <w:r>
        <w:rPr>
          <w:sz w:val="28"/>
        </w:rPr>
        <w:t xml:space="preserve">итуация: на прием к гигиенисту стоматологическому записалась девушка 16 лет для проведения профессиональной гигиены перед плановой фиксацией брекет-системы. </w:t>
      </w:r>
    </w:p>
    <w:p w14:paraId="CF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Жалобы: отсутствуют. Пациентка обеспокоена предстоящим лечением и тем, как ухаживать за зубами с брекетами. </w:t>
      </w:r>
    </w:p>
    <w:p w14:paraId="D0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Анамнез: общее состояние удовлетворительное. Гигиена полости рта нерегулярная. Питание с частыми перекусами. </w:t>
      </w:r>
    </w:p>
    <w:p w14:paraId="D1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D2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Визуально: десна бледно-розовая, умеренно увлажнена. Имеются множественные белые меловидные пятна (очаговая деминерализация) в пришеечных областях фронтальных зубов.</w:t>
      </w:r>
    </w:p>
    <w:p w14:paraId="D3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Пародонтологический зонд: кровоточивость при зондировании отсутствует. Пародонтальные карманы в пределах нормы.</w:t>
      </w:r>
    </w:p>
    <w:p w14:paraId="D4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</w:p>
    <w:p w14:paraId="D5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ИГ (Индекс гигиены) по Федорову-Володкиной – 2,8 (неудовлетворительная гигиена).</w:t>
      </w:r>
    </w:p>
    <w:p w14:paraId="D6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 КПУ – 4 (компенсированная форма кариеса).</w:t>
      </w:r>
    </w:p>
    <w:p w14:paraId="D7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Назубные отложения: мягкий зубной налет преимущественно в пришеечной области и на контактных поверхностях зубов. наддесневые зубные камни единичные, в области нижних резцов.</w:t>
      </w:r>
    </w:p>
    <w:p w14:paraId="D8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         Задания гигиенисту:</w:t>
      </w:r>
    </w:p>
    <w:p w14:paraId="D9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Оцените состояние полости рта и выявите риски, связанные с предстоящим ортодонтическим лечением.</w:t>
      </w:r>
    </w:p>
    <w:p w14:paraId="DA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профессиональной гигиены и профилактических мероприятий, которые необходимо провести до фиксации брекет-системы.</w:t>
      </w:r>
    </w:p>
    <w:p w14:paraId="DB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и продемонстрируйте на модели средства гигиены для ухода за по лостью рта после фиксации брекет-системы.</w:t>
      </w:r>
    </w:p>
    <w:p w14:paraId="DC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Дайте рекомендации по питанию.</w:t>
      </w:r>
    </w:p>
    <w:p w14:paraId="DD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Продемонстрировать технику проведения окрашивания ИГ (Индекс гигиены) по Федорову-Володкиной</w:t>
      </w:r>
      <w:r>
        <w:rPr>
          <w:sz w:val="28"/>
        </w:rPr>
        <w:t>.</w:t>
      </w:r>
    </w:p>
    <w:p w14:paraId="DE000000">
      <w:pPr>
        <w:pStyle w:val="Style_6"/>
        <w:widowControl w:val="1"/>
        <w:ind/>
        <w:jc w:val="both"/>
        <w:rPr>
          <w:sz w:val="28"/>
        </w:rPr>
      </w:pPr>
    </w:p>
    <w:p w14:paraId="DF000000">
      <w:pPr>
        <w:pStyle w:val="Style_6"/>
        <w:widowControl w:val="1"/>
        <w:tabs>
          <w:tab w:leader="none" w:pos="851" w:val="left"/>
        </w:tabs>
        <w:ind/>
        <w:jc w:val="both"/>
        <w:rPr>
          <w:sz w:val="28"/>
        </w:rPr>
      </w:pPr>
      <w:r>
        <w:rPr>
          <w:sz w:val="28"/>
        </w:rPr>
        <w:t xml:space="preserve">           </w:t>
      </w:r>
      <w:r>
        <w:rPr>
          <w:sz w:val="28"/>
        </w:rPr>
        <w:t>3.</w:t>
      </w:r>
      <w:r>
        <w:t xml:space="preserve"> </w:t>
      </w:r>
      <w:r>
        <w:rPr>
          <w:sz w:val="28"/>
        </w:rPr>
        <w:t>Ситуация:</w:t>
      </w:r>
      <w:r>
        <w:rPr>
          <w:sz w:val="28"/>
        </w:rPr>
        <w:t xml:space="preserve"> </w:t>
      </w:r>
      <w:r>
        <w:rPr>
          <w:sz w:val="28"/>
        </w:rPr>
        <w:t xml:space="preserve">на прием к гигиенисту записалась женщина 32 лет, менеджер. </w:t>
      </w:r>
    </w:p>
    <w:p w14:paraId="E0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Жалобы: на повышенную чувствительность зубов от холодного, кислого и сладкого, а также на «прозрачность» и изменение цвета режущих краев передних зубов. Анамнез: пациентка активно следит за здоровьем. В течение последних 2 лет соблюдает «здоровую диету»: утром выпивает стакан теплой воды с лимоном, в течение дня пьет воду с добавлением ломтиков лимона или яблочного уксуса, употребляет свежевыжатые соки (апельсиновый, грейпфрутовый). Чистит зубы 2 раза в день, сразу после завтрака и ужина, использует отбеливающую пасту для поддержания белизны. Курит электронные сигареты.</w:t>
      </w:r>
    </w:p>
    <w:p w14:paraId="E1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E2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 эмаль зубов гладкая, блестящая. На вестибулярных поверхностях верхних и нижних резцов, клыков и премоляров видны широкие эрозивные дефекты чашеобразной формы с гладким, твердым дном. Режущие края фронтальных зубов искажены, наблюдается значительная прозрачность.</w:t>
      </w:r>
    </w:p>
    <w:p w14:paraId="E3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Зондирование: дефекты безболезненные, зонд задерживается. Кариозные полости отсутствуют.</w:t>
      </w:r>
    </w:p>
    <w:p w14:paraId="E4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</w:p>
    <w:p w14:paraId="E5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 гигиены – 1.2 (хорошая гигиена).</w:t>
      </w:r>
    </w:p>
    <w:p w14:paraId="E6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 дефектов не кариозного происхождения – повышенный.</w:t>
      </w:r>
    </w:p>
    <w:p w14:paraId="E7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Тест на гиперестезию: р</w:t>
      </w:r>
      <w:r>
        <w:rPr>
          <w:sz w:val="28"/>
        </w:rPr>
        <w:t>езкая болевая реакция на струю воздуха и холодную воду.</w:t>
      </w:r>
    </w:p>
    <w:p w14:paraId="E8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E9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Поставьте предварительный диагноз и определите наиболее вероятную причину патологии.</w:t>
      </w:r>
    </w:p>
    <w:p w14:paraId="EA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профессиональных мероприятий, направленных на стабилизацию процесса и снижение чувствительности.</w:t>
      </w:r>
    </w:p>
    <w:p w14:paraId="EB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Дайте детальные рекомендации по модификации диеты и образа жизни.</w:t>
      </w:r>
    </w:p>
    <w:p w14:paraId="EC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средства для домашней гигиены и объясните коррекцию техники чистки зубов.</w:t>
      </w:r>
    </w:p>
    <w:p w14:paraId="ED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Продемонстрируйте методику профессиональной гигиены полости рта.</w:t>
      </w:r>
    </w:p>
    <w:p w14:paraId="EE000000">
      <w:pPr>
        <w:pStyle w:val="Style_6"/>
        <w:widowControl w:val="1"/>
        <w:ind/>
        <w:jc w:val="both"/>
        <w:rPr>
          <w:sz w:val="28"/>
        </w:rPr>
      </w:pPr>
    </w:p>
    <w:p w14:paraId="EF000000">
      <w:pPr>
        <w:pStyle w:val="Style_6"/>
        <w:widowControl w:val="1"/>
        <w:tabs>
          <w:tab w:leader="none" w:pos="851" w:val="left"/>
        </w:tabs>
        <w:ind/>
        <w:jc w:val="both"/>
        <w:rPr>
          <w:sz w:val="28"/>
        </w:rPr>
      </w:pPr>
      <w:r>
        <w:rPr>
          <w:sz w:val="28"/>
        </w:rPr>
        <w:t xml:space="preserve">           </w:t>
      </w:r>
      <w:r>
        <w:rPr>
          <w:sz w:val="28"/>
        </w:rPr>
        <w:t>4.</w:t>
      </w:r>
      <w:r>
        <w:rPr>
          <w:sz w:val="28"/>
        </w:rPr>
        <w:t xml:space="preserve"> С</w:t>
      </w:r>
      <w:r>
        <w:rPr>
          <w:sz w:val="28"/>
        </w:rPr>
        <w:t xml:space="preserve">итуация: </w:t>
      </w:r>
      <w:r>
        <w:rPr>
          <w:sz w:val="28"/>
        </w:rPr>
        <w:t>на прием к гигиенисту стоматологическому обратился мужчина 68 лет. </w:t>
      </w:r>
    </w:p>
    <w:p w14:paraId="F0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Жалобы:</w:t>
      </w:r>
      <w:r>
        <w:rPr>
          <w:sz w:val="28"/>
        </w:rPr>
        <w:t> на постоянную сухость во рту, затрудненное пережевывание пищи, особенно твердой, неприятный запах изо рта, «соскальзывание» съемного протеза. Отмечает, что последние несколько лет зубы «стали крошиться».</w:t>
      </w:r>
      <w:r>
        <w:rPr>
          <w:sz w:val="28"/>
        </w:rPr>
        <w:t xml:space="preserve"> </w:t>
      </w:r>
    </w:p>
    <w:p w14:paraId="F1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Анамнез:</w:t>
      </w:r>
      <w:r>
        <w:rPr>
          <w:sz w:val="28"/>
        </w:rPr>
        <w:t> страдает артериальной гипертензией (принимает индапамид и лизиноприл постоянно), ишемической болезнью сердца. Полностью съемный пластиночный протез на верхней челюсти изготовлен 8 лет назад. На нижней челюсти частичная вторичная адентия, сохранилось 8 зубов (33, 32, 31, 41, 42, 43, 36, 37), у которых имеются клиновидные дефекты, корневые кариесы и патологическая стираемость. Гигиену проводит нерегулярно, протез промывает проточной водой.</w:t>
      </w:r>
      <w:r>
        <w:rPr>
          <w:sz w:val="28"/>
        </w:rPr>
        <w:t xml:space="preserve"> </w:t>
      </w:r>
    </w:p>
    <w:p w14:paraId="F2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F3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Слизистая оболочка рта:</w:t>
      </w:r>
      <w:r>
        <w:rPr>
          <w:sz w:val="28"/>
        </w:rPr>
        <w:t> сухая, атрофичная. Под протезом участки гиперемии и гиперкератоза (протезный стоматит).</w:t>
      </w:r>
    </w:p>
    <w:p w14:paraId="F4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Сохранившиеся зубы:</w:t>
      </w:r>
      <w:r>
        <w:rPr>
          <w:sz w:val="28"/>
        </w:rPr>
        <w:t> Обширные клиновидные дефекты, множественные кариозные полости в пришеечной области и на корнях. Зубы подвижны I степени.</w:t>
      </w:r>
    </w:p>
    <w:p w14:paraId="F5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Протез:</w:t>
      </w:r>
      <w:r>
        <w:rPr>
          <w:sz w:val="28"/>
        </w:rPr>
        <w:t> а</w:t>
      </w:r>
      <w:r>
        <w:rPr>
          <w:sz w:val="28"/>
        </w:rPr>
        <w:t>криловый базис протеза потемнел, имеет множественные царапины, признаки деформации. Фиксация отсутствует.</w:t>
      </w:r>
    </w:p>
    <w:p w14:paraId="F6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  <w:r>
        <w:rPr>
          <w:sz w:val="28"/>
        </w:rPr>
        <w:t xml:space="preserve"> OHI-S – 3.0 (неудовлетворительная гигиена).</w:t>
      </w:r>
    </w:p>
    <w:p w14:paraId="F7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КПУ корень – 6 (высокий уровень корневого кариеса).</w:t>
      </w:r>
    </w:p>
    <w:p w14:paraId="F8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F9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Проанализируйте комплекс проблем полости рта у данного пациента, выделив ключевые.</w:t>
      </w:r>
    </w:p>
    <w:p w14:paraId="FA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пошаговый план профессиональной гигиены и ухода, включая работу со съемным протезом.</w:t>
      </w:r>
    </w:p>
    <w:p w14:paraId="FB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средства для индивидуальной гигиены полости рта и протеза.</w:t>
      </w:r>
    </w:p>
    <w:p w14:paraId="FC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Дайте рекомендации по дальнейшим действиям пациента и определите периодичность наблюдения.</w:t>
      </w:r>
    </w:p>
    <w:p w14:paraId="FD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5.</w:t>
      </w:r>
      <w:r>
        <w:t xml:space="preserve"> </w:t>
      </w:r>
      <w:r>
        <w:rPr>
          <w:sz w:val="28"/>
        </w:rPr>
        <w:t>Ситуация: на прием к гигиенисту стоматологическому по направлению хирурга-имплантолога обратился мужчина 55 лет.</w:t>
      </w:r>
    </w:p>
    <w:p w14:paraId="FE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Жалобы: на болезненность, отечность и кровоточивость десны в области установленных 3 года назад имплантатов на нижней челюсти (в области зубов 36, 37), неприятный запах, ощущение «расшатывания» коронок. </w:t>
      </w:r>
    </w:p>
    <w:p w14:paraId="FF00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Анамнез: Пациент бизнесмен, питание нерегулярное, частые командировки. Курит (10 сигарет в день). На нижней челюсти установлены два имплантата с цементной фиксацией ортопедических конструкций. Для гигиены использует обычную зубную щетку и ирригатор (применяет редко, так как «не видит в этом необходимости»). Последний профилактический осмотр был более года назад. Данные осмотра:</w:t>
      </w:r>
    </w:p>
    <w:p w14:paraId="0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Визуально: в области имплантатов 36, 37 – выраженный отек и гиперемия десны, цианоз слизистой. Наблюдается гиперплазия десны вокруг абатментов. Имеются наддесневые зубные отложения на естественных зубах.</w:t>
      </w:r>
    </w:p>
    <w:p w14:paraId="0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Зондирование: при зондировании пародонтальных карманов вокруг имплантатов – глубина до 6 мм, обильная кровоточивость, гноетечение.</w:t>
      </w:r>
    </w:p>
    <w:p w14:paraId="0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Перкуссия: болезненность отсутствует.</w:t>
      </w:r>
    </w:p>
    <w:p w14:paraId="0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Ортопедическая конструкция: коронки на имплантатах с признаками неполного прилегания, цемент виден в поддесневой области.</w:t>
      </w:r>
    </w:p>
    <w:p w14:paraId="0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Рентгенологически (данные из карты): на рентгенограмме определяется вертикальная деструкция костной ткани вокруг имплантатов по типу «кратера» более 3 мм.</w:t>
      </w:r>
    </w:p>
    <w:p w14:paraId="0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0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Поставьте предварительный диагноз. Оцените местные факторы риска, способствовавшие развитию данной ситуации.</w:t>
      </w:r>
    </w:p>
    <w:p w14:paraId="0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Опишите алгоритм проведения профессиональной гигиены в области имплантатов у данного пациента.</w:t>
      </w:r>
    </w:p>
    <w:p w14:paraId="0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специализированные средства для индивидуальной гигиены в области имплантатов и обучите пациента технике их использования.</w:t>
      </w:r>
    </w:p>
    <w:p w14:paraId="0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поддерживающей терапии и определите роль гигиениста в составе лечебной команды.</w:t>
      </w:r>
    </w:p>
    <w:p w14:paraId="0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6.</w:t>
      </w:r>
      <w:r>
        <w:t xml:space="preserve"> </w:t>
      </w:r>
      <w:r>
        <w:rPr>
          <w:sz w:val="28"/>
        </w:rPr>
        <w:t>Ситуация: на прием к гигиенисту стоматологическому обратилась женщина 29 лет с жалобами на «удлинение» зубов, повышенную чувствительность, болезненность и утомляемость жевательных мышц по утрам, а также на частое застревание пищи между зубами.</w:t>
      </w:r>
    </w:p>
    <w:p w14:paraId="0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Анамнез: работает старшим менеджером, отмечает высокий уровень стресса. Симптомы постепенно прогрессируют в течение последних 1.5-2 лет. Для отбеливания 6 месяцев назад использовала набор для домашнего отбеливания. Гигиену проводит 2 раза в день, использует жесткую щетку и отбеливающую пасту.</w:t>
      </w:r>
    </w:p>
    <w:p w14:paraId="0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0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Визуально: лицо напряженные жевательные мышцы. Полость рта генерализованная рецессия десны до 3-4 мм, преимущественно в области премоляров и клыков. Веерообразное расхождение нижних фронтальных зубов. Клиновидные дефекты в пришеечной области.</w:t>
      </w:r>
    </w:p>
    <w:p w14:paraId="0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Зубные ряды: патологическая стираемость режущих краев фронтальных и жевательных поверхностей моляров. На зубах отсутствуют видимые кариозные полости.</w:t>
      </w:r>
    </w:p>
    <w:p w14:paraId="0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Пародонтологическое обследование: глубина пародонтальных карманов в пределах нормы (2-3 мм), но отмечается мобильность зубов I-II степени. На рентгенограмме (по направлению врача) неравномерное расширение периодонтальной щели, вертикальная деструкция межальвеолярных перегородок.</w:t>
      </w:r>
    </w:p>
    <w:p w14:paraId="1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Индексы: индекс гигиены – 1.5 (хороший), но высокий индекс кровоточивости. </w:t>
      </w:r>
    </w:p>
    <w:p w14:paraId="1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1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Поставьте предварительный диагноз. Соберите ключевые данные анамнеза для его подтверждения.</w:t>
      </w:r>
    </w:p>
    <w:p w14:paraId="1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Объясните патогенетическую связь между основным диагнозом и выявленными стоматологическими проблемами.</w:t>
      </w:r>
    </w:p>
    <w:p w14:paraId="1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профессиональных вмешательств с учетом основного диагноза.</w:t>
      </w:r>
    </w:p>
    <w:p w14:paraId="1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Разработайте программу домашнего ухода и дайте рекомендации по модификации образа жизни.</w:t>
      </w:r>
    </w:p>
    <w:p w14:paraId="1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7.</w:t>
      </w:r>
      <w:r>
        <w:t xml:space="preserve"> </w:t>
      </w:r>
      <w:r>
        <w:rPr>
          <w:sz w:val="28"/>
        </w:rPr>
        <w:t xml:space="preserve">Ситуация: на прием к гигиенисту стоматологическому обратился юноша 17 лет в сопровождении матери. </w:t>
      </w:r>
    </w:p>
    <w:p w14:paraId="1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Жалобы: на повышенную чувствительность зубов от холодного и сладкого, "прозрачность" и изменение цвета передних зубов, появление вмятин на жевательных поверхностях. Анамнез: Пациент студент колледжа, активно готовится к экзаменам. В течение последних 1.5-2 лет ежедневно употребляет 1-2 банки "энергетического" напитка для поддержания тонуса. Гигиену проводит нерегулярно, 1 раз в день, использует жесткую щетку и отбеливающую пасту "для эффекта, как у звезд".</w:t>
      </w:r>
    </w:p>
    <w:p w14:paraId="1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Данные осмотра:</w:t>
      </w:r>
    </w:p>
    <w:p w14:paraId="1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Визуально: эмаль зубов гладкая, блестящая. На вестибулярных поверхностях верхних и нижних фронтальных зубов – обширные эрозивные дефекты с гладким, твердым дном. На жевательных поверхностях моляров – чашеобразные углубления в пределах эмали, в которых задерживается пигментированный налет. Режущие края резцов истончены, просвечивают.</w:t>
      </w:r>
    </w:p>
    <w:p w14:paraId="1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Зондирование: дефекты безболезненные, зонд задерживается. Кариозные полости единичные.</w:t>
      </w:r>
    </w:p>
    <w:p w14:paraId="1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</w:p>
    <w:p w14:paraId="1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OHI-S – 2.8 (неудовлетворительная гигиена).</w:t>
      </w:r>
    </w:p>
    <w:p w14:paraId="1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 дефектов некариозного происхождения – повышенный.</w:t>
      </w:r>
    </w:p>
    <w:p w14:paraId="1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Тест на гиперестезию: резкая болевая реакция на струю воздуха из пистолета.</w:t>
      </w:r>
    </w:p>
    <w:p w14:paraId="1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2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Поставьте предварительный диагноз и определите этиологический фактор.</w:t>
      </w:r>
    </w:p>
    <w:p w14:paraId="2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план профессиональных вмешательств.</w:t>
      </w:r>
    </w:p>
    <w:p w14:paraId="2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Разработайте программу мотивации и обучения пациента.</w:t>
      </w:r>
    </w:p>
    <w:p w14:paraId="2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Дайте конкретные рекомендации по питанию и подберите средства для домашней гигиены.</w:t>
      </w:r>
    </w:p>
    <w:p w14:paraId="2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8.</w:t>
      </w:r>
      <w:r>
        <w:t xml:space="preserve"> </w:t>
      </w:r>
      <w:r>
        <w:rPr>
          <w:sz w:val="28"/>
        </w:rPr>
        <w:t xml:space="preserve">Ситуация: на срочный прием к гигиенисту стоматологическому обратился молодой человек 19 лет. </w:t>
      </w:r>
    </w:p>
    <w:p w14:paraId="2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Жалобы: на выраженную кровоточивость десен, болезненность при чистке зубов, неприятный запах изо рта, а также появление «белых пятен» вокруг брекетов на передних  зубах.</w:t>
      </w:r>
    </w:p>
    <w:p w14:paraId="2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Анамнез: брекет-система на обеих челюстях установлена 8 месяцев назад. Пациент отмечает, что с каждым месяцем чистить зубы становится все труднее. Использует обычную зубную щетку и ополаскиватель с мятным вкусом (без лечебных свойств). Межзубными ершиками и суперфлоссом не пользуется, так как «неудобно и долго». Питание не регулировал, часто перекусывает. Данные осмотра: визуально: десна ярко-гиперемирована, отечна, цианотична. Наблюдается выраженная гипертрофия десневых сосочков, частично закрывающая элементы брекет-системы. В пришеечной области вокруг брекетов и на гладких поверхностях зубов – обильные мягкие зубные отложения.</w:t>
      </w:r>
    </w:p>
    <w:p w14:paraId="2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Специфические признаки: вокруг основания брекетов на вестибулярной поверхности зубов 13, 12, 11, 21, 22, 23, 33, 32, 31, 41, 42, 43 видны множественные меловидные (белые) пятна – очаги деминерализации эмали.</w:t>
      </w:r>
    </w:p>
    <w:p w14:paraId="2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Зондирование: резкая болезненность и кровоточивость при зондировании. Глубина пародонтальных карманов в пределах физиологической нормы (2-3 мм), но зонд затруднено вводится из-за гипертрофии десны.</w:t>
      </w:r>
    </w:p>
    <w:p w14:paraId="2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Индексы:</w:t>
      </w:r>
    </w:p>
    <w:p w14:paraId="2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OHI-S – 3.5 (неудовлетворительная гигиена).</w:t>
      </w:r>
    </w:p>
    <w:p w14:paraId="2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Папиллярно-маргинально-альвеолярный индекс (PMA) – </w:t>
      </w:r>
      <w:r>
        <w:rPr>
          <w:sz w:val="28"/>
        </w:rPr>
        <w:t>65% (гингивит тяжелой степени).</w:t>
      </w:r>
    </w:p>
    <w:p w14:paraId="2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Задания гигиенисту:</w:t>
      </w:r>
    </w:p>
    <w:p w14:paraId="2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Выделите основные проблемы пациента и установите предварительный диагноз.</w:t>
      </w:r>
    </w:p>
    <w:p w14:paraId="2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Составьте пошаговый план неотложных профессиональных вмешательств.</w:t>
      </w:r>
    </w:p>
    <w:p w14:paraId="2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Подберите и продемонстрируйте на модели специализированные средства гигиены для ухода за брекет-системой.</w:t>
      </w:r>
    </w:p>
    <w:p w14:paraId="3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Разработайте план дальнейшего ведения пациента и взаимодействия с ортодонтом.</w:t>
      </w:r>
    </w:p>
    <w:p w14:paraId="3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9.</w:t>
      </w:r>
      <w:r>
        <w:t xml:space="preserve"> </w:t>
      </w:r>
      <w:r>
        <w:rPr>
          <w:sz w:val="28"/>
        </w:rPr>
        <w:t>Ситуация: на участке с населением 12 000 человек, из них 2 000 детей до 14 лет, работает стоматологическая поликлиника. За год было саниров</w:t>
      </w:r>
      <w:r>
        <w:rPr>
          <w:sz w:val="28"/>
        </w:rPr>
        <w:t>ано 1800 взрослых и 1500 детей.</w:t>
      </w:r>
    </w:p>
    <w:p w14:paraId="3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полноту охвата населения плановой санацией и оцените ее.</w:t>
      </w:r>
    </w:p>
    <w:p w14:paraId="3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10.</w:t>
      </w:r>
      <w:r>
        <w:t xml:space="preserve"> </w:t>
      </w:r>
      <w:r>
        <w:rPr>
          <w:sz w:val="28"/>
        </w:rPr>
        <w:t>Ситуация: п</w:t>
      </w:r>
      <w:r>
        <w:rPr>
          <w:sz w:val="28"/>
        </w:rPr>
        <w:t>ри осмотре пациента 25 лет зарегистрировано:</w:t>
      </w:r>
    </w:p>
    <w:p w14:paraId="3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>
        <w:rPr>
          <w:sz w:val="28"/>
        </w:rPr>
        <w:t>Зуб 16: пломба (О), кариес (К), зубной камень (Н).</w:t>
      </w:r>
    </w:p>
    <w:p w14:paraId="3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2.</w:t>
      </w:r>
      <w:r>
        <w:rPr>
          <w:sz w:val="28"/>
        </w:rPr>
        <w:tab/>
      </w:r>
      <w:r>
        <w:rPr>
          <w:sz w:val="28"/>
        </w:rPr>
        <w:t>Зуб 24: отсутствует (У).</w:t>
      </w:r>
    </w:p>
    <w:p w14:paraId="3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</w:r>
      <w:r>
        <w:rPr>
          <w:sz w:val="28"/>
        </w:rPr>
        <w:t>Зуб 36: пломба (О), кариес (К).</w:t>
      </w:r>
    </w:p>
    <w:p w14:paraId="3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4.</w:t>
      </w:r>
      <w:r>
        <w:rPr>
          <w:sz w:val="28"/>
        </w:rPr>
        <w:tab/>
      </w:r>
      <w:r>
        <w:rPr>
          <w:sz w:val="28"/>
        </w:rPr>
        <w:t>Зуб 46: пломба (О).</w:t>
      </w:r>
    </w:p>
    <w:p w14:paraId="3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индекс КПУ и его компоненты. Дайте оценку интенсивности кариеса.</w:t>
      </w:r>
    </w:p>
    <w:p w14:paraId="3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11.</w:t>
      </w:r>
      <w:r>
        <w:t xml:space="preserve"> </w:t>
      </w:r>
      <w:r>
        <w:rPr>
          <w:sz w:val="28"/>
        </w:rPr>
        <w:t>Ситуация: у пациента при осмотре определен индекс гигиены OHI-S (Green-Vermillion).</w:t>
      </w:r>
    </w:p>
    <w:p w14:paraId="3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На вестибулярной поверхности 11 и 16, а также на язычной поверхности 26 обнаружен мягкий зубной налет.</w:t>
      </w:r>
    </w:p>
    <w:p w14:paraId="3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На язычной поверхности 36 и 46 обнаружен зубной камень.</w:t>
      </w:r>
    </w:p>
    <w:p w14:paraId="3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индекс OHI-S. Дайте оценку гигиенического состояния полости рта.</w:t>
      </w:r>
    </w:p>
    <w:p w14:paraId="3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12.</w:t>
      </w:r>
      <w:r>
        <w:t xml:space="preserve"> </w:t>
      </w:r>
      <w:r>
        <w:rPr>
          <w:sz w:val="28"/>
        </w:rPr>
        <w:t>Ситуация: в районе с низким содержанием фтора в питьевой воде (0.3 мг/л) планируется программа профилактики кариеса у детей.</w:t>
      </w:r>
      <w:r>
        <w:rPr>
          <w:sz w:val="28"/>
        </w:rPr>
        <w:t xml:space="preserve"> </w:t>
      </w:r>
    </w:p>
    <w:p w14:paraId="3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Задание: составьте план эндогенных методов профилактики кариеса. </w:t>
      </w:r>
    </w:p>
    <w:p w14:paraId="3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Обоснуйте выбор.</w:t>
      </w:r>
    </w:p>
    <w:p w14:paraId="4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13.</w:t>
      </w:r>
      <w:r>
        <w:t xml:space="preserve"> </w:t>
      </w:r>
      <w:r>
        <w:rPr>
          <w:sz w:val="28"/>
        </w:rPr>
        <w:t xml:space="preserve">Ситуация: для определения эффективности новой профилактической программы необходимо провести эпидемиологическое стоматологическое обследование группы 12-летних школьников. </w:t>
      </w:r>
    </w:p>
    <w:p w14:paraId="4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перечислите основные критерии и индексы, которые необходимо определить, и обоснуйте их выбор</w:t>
      </w:r>
      <w:r>
        <w:rPr>
          <w:sz w:val="28"/>
        </w:rPr>
        <w:t>.</w:t>
      </w:r>
    </w:p>
    <w:p w14:paraId="4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14. </w:t>
      </w:r>
      <w:r>
        <w:rPr>
          <w:sz w:val="28"/>
        </w:rPr>
        <w:t xml:space="preserve">Ситуация: ребенку 7 лет проведена профессиональная гигиена полости рта. Индекс КПУ+кп = 5, гигиена удовлетворительная. Проживает в районе с умеренно низким содержанием фтора в воде (0.5 мг/л). </w:t>
      </w:r>
    </w:p>
    <w:p w14:paraId="4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Задание: составьте план местных профилактических мероприятий, направленных на укрепление эмали зубов. </w:t>
      </w:r>
    </w:p>
    <w:p w14:paraId="4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Обоснуйте свой выбор.</w:t>
      </w:r>
    </w:p>
    <w:p w14:paraId="4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15. </w:t>
      </w:r>
      <w:r>
        <w:rPr>
          <w:sz w:val="28"/>
        </w:rPr>
        <w:t xml:space="preserve">Ситуация: на профилактическом приёме у ребёнка 8 лет выявлен только что прорезавшийся зуб 36. фиссуры глубокие, пигментированные, зонд застревает. </w:t>
      </w:r>
      <w:r>
        <w:rPr>
          <w:sz w:val="28"/>
        </w:rPr>
        <w:t>Жалоб у ребенка нет.</w:t>
      </w:r>
    </w:p>
    <w:p w14:paraId="4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определите тактику в отношении зуба 36. Дайте обоснование.</w:t>
      </w:r>
    </w:p>
    <w:p w14:paraId="4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16.</w:t>
      </w:r>
      <w:r>
        <w:t xml:space="preserve"> </w:t>
      </w:r>
      <w:r>
        <w:rPr>
          <w:sz w:val="28"/>
        </w:rPr>
        <w:t xml:space="preserve">Ситуация: пациент 45 лет курит, жалуется на кровоточивость десен при чистке зубов и обильные зубные отложения. При осмотре: обильный над- и поддесневой зубной камень, гиперемия и отечность десневого края, пародонтальные карманы до 4 мм в области моляров. </w:t>
      </w:r>
    </w:p>
    <w:p w14:paraId="4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план профессиональной гигиены полости рта для данного пациента.</w:t>
      </w:r>
    </w:p>
    <w:p w14:paraId="4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17.</w:t>
      </w:r>
      <w:r>
        <w:t xml:space="preserve"> </w:t>
      </w:r>
      <w:r>
        <w:rPr>
          <w:sz w:val="28"/>
        </w:rPr>
        <w:t>Ситуация: на прием к стоматологу обратилась беременная женщина на сроке 16 недель. Жалуется на кровоточивость десен и опасения, что "кариес заберет кальций из зубов для построения скелета ребенка".</w:t>
      </w:r>
    </w:p>
    <w:p w14:paraId="4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разработайте для пациентки краткую программу профилактики стоматологических заболеваний и дайте необходимые разъяснения</w:t>
      </w:r>
      <w:r>
        <w:rPr>
          <w:sz w:val="28"/>
        </w:rPr>
        <w:t>.</w:t>
      </w:r>
    </w:p>
    <w:p w14:paraId="4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18.</w:t>
      </w:r>
      <w:r>
        <w:t xml:space="preserve"> </w:t>
      </w:r>
      <w:r>
        <w:rPr>
          <w:sz w:val="28"/>
        </w:rPr>
        <w:t>Ситуация: при обследовании пациента 35 лет по индексу CPI получены следующие коды:</w:t>
      </w:r>
    </w:p>
    <w:p w14:paraId="4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Секстант 16-11: Код 2 (зубной камень).</w:t>
      </w:r>
    </w:p>
    <w:p w14:paraId="4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Секстант 26-23: Код 1 (кровоточивость).</w:t>
      </w:r>
    </w:p>
    <w:p w14:paraId="4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Секстант 33-36: Код 3 (пародонтальный карман 4-5 мм).</w:t>
      </w:r>
    </w:p>
    <w:p w14:paraId="4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Секстант 46-43: Код 2 (зубной камень). </w:t>
      </w:r>
    </w:p>
    <w:p w14:paraId="5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определите нуждаемость пациента в лечении заболеваний пародонта. Расшифруйте коды и сформулируйте рекомендации.</w:t>
      </w:r>
    </w:p>
    <w:p w14:paraId="5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19.</w:t>
      </w:r>
      <w:r>
        <w:t xml:space="preserve"> </w:t>
      </w:r>
      <w:r>
        <w:rPr>
          <w:sz w:val="28"/>
        </w:rPr>
        <w:t>Ситуация: на прием пришел ребенок 5 лет. При осмотре: кп = 6 (4 зуба с кариесом, 2 пломбированы), мягкий зубной налет покрывает более 2/3 поверхностей зубов. Мать сообщает, что ребенок любит сладкие напитки перед сном, чистка зубов нерегулярная.</w:t>
      </w:r>
    </w:p>
    <w:p w14:paraId="5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 Задание: оцените риск развития кариеса у ребенка и составьте индивидуальный профилактический план.</w:t>
      </w:r>
    </w:p>
    <w:p w14:paraId="5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20.</w:t>
      </w:r>
      <w:r>
        <w:t xml:space="preserve"> </w:t>
      </w:r>
      <w:r>
        <w:rPr>
          <w:sz w:val="28"/>
        </w:rPr>
        <w:t>Ситуация: пациент 55 лет жалуется на подвижность зубов, неприятный запах изо рта. Курит более 20 лет. При осмотре: обильные зубные отложения, генерализованная рецессия десны, пародонтальные карманы до 6 мм в области фронтальных зубов нижней челюсти</w:t>
      </w:r>
      <w:r>
        <w:rPr>
          <w:sz w:val="28"/>
        </w:rPr>
        <w:t>, подвижность зубов II степени.</w:t>
      </w:r>
    </w:p>
    <w:p w14:paraId="5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оцените состояние. Какие методы профилактики прогрессирования заболевания вы предложите.</w:t>
      </w:r>
    </w:p>
    <w:p w14:paraId="5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21. </w:t>
      </w:r>
      <w:r>
        <w:rPr>
          <w:sz w:val="28"/>
        </w:rPr>
        <w:t>Ситуация: после обучения гигиене пациенту проверили ее эффективность с помощью индекса PHP (Podshadley, Haley). При нанесении индикатора налета окрасились:</w:t>
      </w:r>
    </w:p>
    <w:p w14:paraId="5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Вестибулярные поверхности 16, 11, 26.</w:t>
      </w:r>
    </w:p>
    <w:p w14:paraId="5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Оральные поверхности 36, 31. </w:t>
      </w:r>
    </w:p>
    <w:p w14:paraId="5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индекс PHP. Дайте оценку и рекомендации</w:t>
      </w:r>
      <w:r>
        <w:rPr>
          <w:sz w:val="28"/>
        </w:rPr>
        <w:t>.</w:t>
      </w:r>
    </w:p>
    <w:p w14:paraId="5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22.</w:t>
      </w:r>
      <w:r>
        <w:t xml:space="preserve"> </w:t>
      </w:r>
      <w:r>
        <w:rPr>
          <w:sz w:val="28"/>
        </w:rPr>
        <w:t>Ситуация: пациент 25 лет с установленными брекет-системами жалуется на затрудненную гигиену, скопление пищи вокруг элементов конструкции, кровоточивость десен.</w:t>
      </w:r>
    </w:p>
    <w:p w14:paraId="5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 Задание: подберите для данного пациента комплекс средств индивидуальной гигиены и обоснуйте выбор.</w:t>
      </w:r>
    </w:p>
    <w:p w14:paraId="5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23. </w:t>
      </w:r>
      <w:r>
        <w:rPr>
          <w:sz w:val="28"/>
        </w:rPr>
        <w:t>Ситуация: при повторном эпидемиологическом обследовании 12-летних школьников через 3 года после внедрения программы фторирования воды были получены следующие данные:</w:t>
      </w:r>
    </w:p>
    <w:p w14:paraId="5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До программы: индекс КПУ = 4.0, распространенность кариеса = 95%.</w:t>
      </w:r>
    </w:p>
    <w:p w14:paraId="5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После программы: индекс КПУ = 2.8, распространенность кариеса = 85%.</w:t>
      </w:r>
    </w:p>
    <w:p w14:paraId="5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и оцените эффективность программы профилактики.</w:t>
      </w:r>
    </w:p>
    <w:p w14:paraId="5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24.</w:t>
      </w:r>
      <w:r>
        <w:rPr>
          <w:color w:val="0F1115"/>
        </w:rPr>
        <w:t xml:space="preserve"> </w:t>
      </w:r>
      <w:r>
        <w:rPr>
          <w:sz w:val="28"/>
        </w:rPr>
        <w:t>Ситуация:</w:t>
      </w:r>
      <w:r>
        <w:rPr>
          <w:sz w:val="28"/>
        </w:rPr>
        <w:t> в двух школах проводилось изучение эффективности новой профилактической пасты. В контрольной группе (использовала обычную пасту) прирост индекса КПУ за год составил 2.0. В опытной группе (использовала новую пасту) прирост индекса КПУ за год составил 1.1.</w:t>
      </w:r>
      <w:r>
        <w:rPr>
          <w:sz w:val="28"/>
        </w:rPr>
        <w:t xml:space="preserve"> </w:t>
      </w:r>
    </w:p>
    <w:p w14:paraId="6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</w:t>
      </w:r>
      <w:r>
        <w:rPr>
          <w:sz w:val="28"/>
        </w:rPr>
        <w:t> рассчитайте индекс редукции (снижения прироста) кариеса. Сделайте вывод об эффективности новой пасты.</w:t>
      </w:r>
    </w:p>
    <w:p w14:paraId="6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25.</w:t>
      </w:r>
      <w:r>
        <w:t xml:space="preserve"> </w:t>
      </w:r>
      <w:r>
        <w:rPr>
          <w:sz w:val="28"/>
        </w:rPr>
        <w:t>Ситуация: пациент 60 лет проходит лучевую терапию по поводу онкологического заболевания челюстно-лицевой области. Жалуется на резкую сухость во рту, затруднение при глотании пищи, ощущение, что "зубы крошатся".</w:t>
      </w:r>
    </w:p>
    <w:p w14:paraId="6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план профилактических мероприятий для данного пациента.</w:t>
      </w:r>
    </w:p>
    <w:p w14:paraId="6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26</w:t>
      </w:r>
      <w:r>
        <w:t xml:space="preserve"> </w:t>
      </w:r>
      <w:r>
        <w:rPr>
          <w:sz w:val="28"/>
        </w:rPr>
        <w:t xml:space="preserve">Клиническая ситуация: мальчик 10 лет. активный кариес, не хочет чистить зубы. Родители жалуются, что не могут заставить его выполнять процедуру. </w:t>
      </w:r>
      <w:r>
        <w:rPr>
          <w:sz w:val="28"/>
        </w:rPr>
        <w:t>При осмотре: плохая гигиена, множественный кариес, в том числе на постоянных молярах.</w:t>
      </w:r>
    </w:p>
    <w:p w14:paraId="6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предложите стратегию работы с ребёнком и его родителями, направленную на формирование долговременной мотивации к поддержанию здоровья полости рта.</w:t>
      </w:r>
    </w:p>
    <w:p w14:paraId="6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27.</w:t>
      </w:r>
      <w:r>
        <w:t xml:space="preserve"> </w:t>
      </w:r>
      <w:r>
        <w:rPr>
          <w:sz w:val="28"/>
        </w:rPr>
        <w:t>Ситуация: в детском саду с численностью 150 детей запланирована программа профилактики кариеса. Бюджет ограничен. Содержание фтора в воде — 0.4 мг/л.</w:t>
      </w:r>
    </w:p>
    <w:p w14:paraId="6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разработайте экономически эффективную программу профилактики кариеса для данного детского сада.</w:t>
      </w:r>
    </w:p>
    <w:p w14:paraId="6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28. </w:t>
      </w:r>
      <w:r>
        <w:rPr>
          <w:sz w:val="28"/>
        </w:rPr>
        <w:t>Ситуация: при оценке индекса гингивита (GI) у пациента получены следующие баллы в области зубов 16, 11, 26, 31, 36, 46:</w:t>
      </w:r>
    </w:p>
    <w:p w14:paraId="6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16: дистальная вестибулярная — 2, середина вестибулярной — 1, мезиальная вестибулярная — 2; язычная поверхность — 1.</w:t>
      </w:r>
    </w:p>
    <w:p w14:paraId="6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11: все поверхности — 1 балл.</w:t>
      </w:r>
    </w:p>
    <w:p w14:paraId="6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26: вестибулярная — 2, язычная — 1.</w:t>
      </w:r>
    </w:p>
    <w:p w14:paraId="6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31: вестибулярная — 0, язычная — 0.</w:t>
      </w:r>
    </w:p>
    <w:p w14:paraId="6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36: вестибулярная — 2, язычная — 2.</w:t>
      </w:r>
    </w:p>
    <w:p w14:paraId="6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Зуб 46: вестибулярная — 1, язычная — 1.</w:t>
      </w:r>
    </w:p>
    <w:p w14:paraId="6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рассчитайте индекс гингивита (GI) для пациента, дайте оценку.</w:t>
      </w:r>
    </w:p>
    <w:p w14:paraId="6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29.</w:t>
      </w:r>
      <w:r>
        <w:t xml:space="preserve"> </w:t>
      </w:r>
      <w:r>
        <w:rPr>
          <w:sz w:val="28"/>
        </w:rPr>
        <w:t>У пациента 45 лет при осмотре выявлены массивные наддесневые зубные камни в области моляров, поддесневые камни в пародонтальных карманах глубиной 4-5 мм, пигментированный налёт на язычной поверхности нижних резцов</w:t>
      </w:r>
    </w:p>
    <w:p w14:paraId="7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подберите инструментарий для проведения профессиональной гигиены.</w:t>
      </w:r>
    </w:p>
    <w:p w14:paraId="7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30.</w:t>
      </w:r>
      <w:r>
        <w:t xml:space="preserve"> </w:t>
      </w:r>
      <w:r>
        <w:rPr>
          <w:sz w:val="28"/>
        </w:rPr>
        <w:t>После проведения профессиональной гигиены пациентка 28 лет жалуется на повышенную чувствительность зубов на холодное и горячее, особенно в области премоляров. При осмотре: клиновидные дефекты в стадии начального формирования.</w:t>
      </w:r>
    </w:p>
    <w:p w14:paraId="7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объясните причину осложнения, составьте план мероприятий по устранению чувствительности.</w:t>
      </w:r>
    </w:p>
    <w:p w14:paraId="7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31.</w:t>
      </w:r>
      <w:r>
        <w:t xml:space="preserve"> </w:t>
      </w:r>
      <w:r>
        <w:rPr>
          <w:sz w:val="28"/>
        </w:rPr>
        <w:t>Подросток 14 лет с установленной брекет-системой проходит плановую профессиональную гигиену. При осмотре: скопление налета вокруг элементов конструкции, маргинальная гиперемия десны.</w:t>
      </w:r>
    </w:p>
    <w:p w14:paraId="7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пошаговый протокол проведения профессиональной гигиены.</w:t>
      </w:r>
    </w:p>
    <w:p w14:paraId="7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32.</w:t>
      </w:r>
      <w:r>
        <w:t xml:space="preserve"> </w:t>
      </w:r>
      <w:r>
        <w:rPr>
          <w:sz w:val="28"/>
        </w:rPr>
        <w:t>Ситуация: после проведения профессиональной гигиены необходимо оценить ее качество. У пациента были массивные наддесневые камни и поддесневые отложения в карманах до 4 мм.</w:t>
      </w:r>
    </w:p>
    <w:p w14:paraId="7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перечислите методы контроля качества проведенной профессиональной гигиены.</w:t>
      </w:r>
    </w:p>
    <w:p w14:paraId="7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33.</w:t>
      </w:r>
      <w:r>
        <w:t xml:space="preserve"> </w:t>
      </w:r>
      <w:r>
        <w:rPr>
          <w:sz w:val="28"/>
        </w:rPr>
        <w:t>Ситуация: пациенту 50 лет с дентальными имплантатами требуется проведение профессиональной гигиены. При осмотре: признаки воспаления вокруг имплантатов, наддесневые отложения на абатментах.</w:t>
      </w:r>
    </w:p>
    <w:p w14:paraId="7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план профессиональной гигиены с учетом наличия имплантатов</w:t>
      </w:r>
      <w:r>
        <w:rPr>
          <w:sz w:val="28"/>
        </w:rPr>
        <w:t>.</w:t>
      </w:r>
    </w:p>
    <w:p w14:paraId="7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34.</w:t>
      </w:r>
      <w:r>
        <w:t xml:space="preserve"> </w:t>
      </w:r>
      <w:r>
        <w:rPr>
          <w:sz w:val="28"/>
        </w:rPr>
        <w:t>Во время проведения профессиональной гигиены у пациента 60 лет с сердечно-сосудистыми заболеваниями внезапно началось кровотечение из десны в области моляров, которое не останавливается в течение 10 минут.</w:t>
      </w:r>
    </w:p>
    <w:p w14:paraId="7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алгоритм неотложных действий.</w:t>
      </w:r>
    </w:p>
    <w:p w14:paraId="7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35.</w:t>
      </w:r>
      <w:r>
        <w:t xml:space="preserve"> </w:t>
      </w:r>
      <w:r>
        <w:rPr>
          <w:sz w:val="28"/>
        </w:rPr>
        <w:t>Беременная женщина на 20-й неделе обратилась для проведения профессиональной гигиены. Жалуется на повышенную кровоточивость дёсен и неприятный запах.</w:t>
      </w:r>
    </w:p>
    <w:p w14:paraId="7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36.</w:t>
      </w:r>
      <w:r>
        <w:rPr>
          <w:sz w:val="28"/>
        </w:rPr>
        <w:t xml:space="preserve">На приём пришел пациент 25 лет. </w:t>
      </w:r>
    </w:p>
    <w:p w14:paraId="7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Жалобы на частые «дырки» в зубах, несмотря на лечение. При осмотре: множественный кариес (в стадии пятна и поверхностный), обильный мягкий зубной налёт в пришеечной области, кровоточивость дёсен при зондировании. </w:t>
      </w:r>
    </w:p>
    <w:p w14:paraId="7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Из анамнеза: работает в IT, часто пьёт сладкий кофе в течение дня, чистит зубы 1 раз в день утром, пользуется жесткой щёткой.</w:t>
      </w:r>
    </w:p>
    <w:p w14:paraId="7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индивидуальный план профилактики кариеса для данного пациента.</w:t>
      </w:r>
    </w:p>
    <w:p w14:paraId="8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адаптированный протокол профессиональной гигиены.</w:t>
      </w:r>
    </w:p>
    <w:p w14:paraId="8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37.</w:t>
      </w:r>
      <w:r>
        <w:rPr>
          <w:sz w:val="28"/>
        </w:rPr>
        <w:t>Ребёнок 7 лет. мама жалуется, что «зубы прорезались с жёлтыми пятнами». При осмотре: прорезались первые постоянные моляры. Фиссуры глубокие, пигментированные, при зондировании зонд задерживается.</w:t>
      </w:r>
    </w:p>
    <w:p w14:paraId="8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 определить тактику ведения пациента и обосновать метод профилактики.</w:t>
      </w:r>
    </w:p>
    <w:p w14:paraId="8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38.</w:t>
      </w:r>
      <w:r>
        <w:rPr>
          <w:sz w:val="28"/>
        </w:rPr>
        <w:t>Пациентка 45 лет. Жалобы на чувствительность зубов от холодного и кислого, а также на «углубления» у десны и «прозрачность» режущих краёв передних зубов. При осмотре: на клыках и премолярах с двух сторон видны клиновидные дефекты. На резцах верхней челюсти – участки помутнения эмали, чашеобразные углубления.</w:t>
      </w:r>
    </w:p>
    <w:p w14:paraId="8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определить виды некариозных поражений. Составить план профилактических мероприятий.</w:t>
      </w:r>
    </w:p>
    <w:p w14:paraId="8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39.</w:t>
      </w:r>
      <w:r>
        <w:t xml:space="preserve"> </w:t>
      </w:r>
      <w:r>
        <w:rPr>
          <w:sz w:val="28"/>
        </w:rPr>
        <w:t xml:space="preserve">На приём к стоматологу привели ребёнка 2 лет. </w:t>
      </w:r>
    </w:p>
    <w:p w14:paraId="8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 на «белые пятна» на передних верхних зубах и «коричневые полоски» у десны. Из анамнеза: ребёнок находится на искусственном вскармливании, ночью несколько раз пьёт сладкую смесь из бутылочки, засыпает с ней. Гигиену полости рта проводят нерегулярно.</w:t>
      </w:r>
    </w:p>
    <w:p w14:paraId="8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поставьте диагноз. Определите причину и составьте план профилактических мероприятий для данного ребёнка.</w:t>
      </w:r>
    </w:p>
    <w:p w14:paraId="8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40.</w:t>
      </w:r>
      <w:r>
        <w:t xml:space="preserve"> </w:t>
      </w:r>
      <w:r>
        <w:rPr>
          <w:sz w:val="28"/>
        </w:rPr>
        <w:t>Пациент 40 лет. Обратился для планового осмотра. В полости рта — множественные пломбы, в том числе 4 искусственные коронки. При осмотре с помощью зонда и зеркала: в области краевого прилегания двух пломб на жевательных зубах определяется шероховатость, задержка зонда и побеление эмали. Пациент жалуется на застревание пищи в этих межзубных промежутках.</w:t>
      </w:r>
    </w:p>
    <w:p w14:paraId="8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оцените ситуацию. Какой риск существует для данных зубов? Составьте план профилактических мероприятий</w:t>
      </w:r>
    </w:p>
    <w:p w14:paraId="8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41.</w:t>
      </w:r>
      <w:r>
        <w:t xml:space="preserve"> </w:t>
      </w:r>
      <w:r>
        <w:rPr>
          <w:sz w:val="28"/>
        </w:rPr>
        <w:t>На приём приводят ребёнка 8 лет. Постоянные центральные резцы и первые моляры прорезались с «неровностями» и «жёлто-коричневыми пятнами». Пятна не окрашиваются красителем. Из анамнеза: ребёнок родился недоношенным, в период новорождённости перенёс тяжелую инфекцию с высокой температурой.</w:t>
      </w:r>
    </w:p>
    <w:p w14:paraId="8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поставьте диагноз. Объясните причину. Назначьте план профилактических мероприятий, направленных на укрепление тканей зуба и предотвращение осложнений.</w:t>
      </w:r>
    </w:p>
    <w:p w14:paraId="8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42.</w:t>
      </w:r>
      <w:r>
        <w:t xml:space="preserve"> </w:t>
      </w:r>
      <w:r>
        <w:rPr>
          <w:sz w:val="28"/>
        </w:rPr>
        <w:t>Пациентка 60 лет, проходит курс химиотерапии по поводу онкологического заболевания. Жалуется на сильную сухость во рту, жжение слизистой, затруднение при глотании пищи и речи. При осмотре: слизистая оболочка полости рта сухая, атрофичная, гиперемированная. На зубах обильный мягкий налёт, множественный пришеечный кариес.</w:t>
      </w:r>
    </w:p>
    <w:p w14:paraId="8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оцените риск развития стоматологических заболеваний. Составьте план профилактики для данного пациента.</w:t>
      </w:r>
    </w:p>
    <w:p w14:paraId="8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43.</w:t>
      </w:r>
      <w:r>
        <w:t xml:space="preserve"> </w:t>
      </w:r>
      <w:r>
        <w:rPr>
          <w:sz w:val="28"/>
        </w:rPr>
        <w:t>Пациент 55 лет. Жалобы на боль от холодного и кислого, на «укорочение» зубов. При осмотре: выраженное патологическое стирание жевательных поверхностей зубов. На стёртых поверхностях и в пришеечных областях видны кариозные полости. Имеются несостоятельные пломбы. Из анамнеза: бруксизм, работа на химическом производстве (возможны кислотные пары).</w:t>
      </w:r>
    </w:p>
    <w:p w14:paraId="8F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определите виды патологии. Составьте комплексный план профилактики, направленный на оба заболевания</w:t>
      </w:r>
    </w:p>
    <w:p w14:paraId="90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44.</w:t>
      </w:r>
      <w:r>
        <w:t xml:space="preserve"> </w:t>
      </w:r>
      <w:r>
        <w:rPr>
          <w:sz w:val="28"/>
        </w:rPr>
        <w:t>Подросток 14 лет. Установлена несъёмная брекет-система на обе челюсти. Через 3 месяца после установки вокруг брекетов и в пришеечной области зубов появились меловидные белые пятна. Гигиена затруднена.</w:t>
      </w:r>
    </w:p>
    <w:p w14:paraId="91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диагностируйте поражение. Составьте экстренный и долгосрочный план профилактических мероприятий</w:t>
      </w:r>
      <w:r>
        <w:rPr>
          <w:sz w:val="28"/>
        </w:rPr>
        <w:t>.</w:t>
      </w:r>
    </w:p>
    <w:p w14:paraId="92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45.</w:t>
      </w:r>
      <w:r>
        <w:t xml:space="preserve"> </w:t>
      </w:r>
      <w:r>
        <w:rPr>
          <w:sz w:val="28"/>
        </w:rPr>
        <w:t>Пациентка 28 лет, на 20-й неделе беременности. Жалуется на кровоточивость дёсен при чистке зубов и страх, что «каждый ребёнок стоит одного зуба». При осмотре: выраженный гингивит беременных (отёк, гиперемия, кровоточивость десневых сосочков), обильный зубной налёт. На язычных поверхностях нижних фронтальных зубов – обильный мягкий зубной камень.</w:t>
      </w:r>
    </w:p>
    <w:p w14:paraId="93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составьте план безопасных профилактических мероприятий для санации полости рта и обучения пациентки</w:t>
      </w:r>
      <w:r>
        <w:rPr>
          <w:sz w:val="28"/>
        </w:rPr>
        <w:t>.</w:t>
      </w:r>
    </w:p>
    <w:p w14:paraId="94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46.</w:t>
      </w:r>
      <w:r>
        <w:t xml:space="preserve"> </w:t>
      </w:r>
      <w:r>
        <w:rPr>
          <w:sz w:val="28"/>
        </w:rPr>
        <w:t>Клиническая ситуация: пациент 50 лет, работает на аккумуляторном заводе в цехе изготовления кислот. Жалуется на «расплывающиеся» зубы, острую боль от всех раздражителей, особенно от кислого. При осмотре: эмаль фронтальной группы зубов размягчена, матовая, имеет «тающий» вид, режущие края истончены и просвечивают. Зондирование безболезненно.</w:t>
      </w:r>
    </w:p>
    <w:p w14:paraId="95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определите вид некариозного поражения. Составьте план неотложной и долговременной профилактики</w:t>
      </w:r>
      <w:r>
        <w:rPr>
          <w:sz w:val="28"/>
        </w:rPr>
        <w:t>.</w:t>
      </w:r>
    </w:p>
    <w:p w14:paraId="96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47.</w:t>
      </w:r>
      <w:r>
        <w:t xml:space="preserve"> </w:t>
      </w:r>
      <w:r>
        <w:rPr>
          <w:sz w:val="28"/>
        </w:rPr>
        <w:t xml:space="preserve">Клиническая ситуация: пациент 30 лет. </w:t>
      </w:r>
    </w:p>
    <w:p w14:paraId="97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Жалобы на застревание пищи между зубами. При осмотре: множественные проксимальные кариозные полости на молярах и премолярах, определяемые рентгенологически. При осмотре выявлено, что пациент не использует никаких дополнительных средств гигиены, кроме зубной щётки.</w:t>
      </w:r>
    </w:p>
    <w:p w14:paraId="98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проанализируйте причину поражений. Подберите и обоснуйте средства индивидуальной гигиены для профилактики рецидива.</w:t>
      </w:r>
    </w:p>
    <w:p w14:paraId="99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48. </w:t>
      </w:r>
      <w:r>
        <w:rPr>
          <w:sz w:val="28"/>
        </w:rPr>
        <w:t>Клиническая ситуация: пациент 65 лет, страдает сахарным диабетом 2 типа с нестабильной компенсацией (уровень гликированного гемоглобина HbA1c = 8.5%). Жалуется на сухость во рту, подвижность зубов, неприятный запах. При осмотре: признаки тяжёлого пародонтита (глубокие пародонтальные карманы, гноетечение, подвижность зубов II-III ст.), множественный кариес корня.</w:t>
      </w:r>
    </w:p>
    <w:p w14:paraId="9A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оцените риски. Сформулируйте основные направления профилактики с учётом системного заболевания</w:t>
      </w:r>
      <w:r>
        <w:rPr>
          <w:sz w:val="28"/>
        </w:rPr>
        <w:t>.</w:t>
      </w:r>
    </w:p>
    <w:p w14:paraId="9B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49.</w:t>
      </w:r>
      <w:r>
        <w:t xml:space="preserve"> </w:t>
      </w:r>
      <w:r>
        <w:rPr>
          <w:sz w:val="28"/>
        </w:rPr>
        <w:t>Клиническая ситуация: пациентка 48 лет. Год назад были установлены два дентальных имплантата в области жевательных зубов нижней челюсти. Жалуется на тяжесть и дискомфорт в области имплантатов, кровоточивость при чистке. При осмотре: выраженный отёк и гиперемия десны вокруг абатментов, глубина зондирования до 6 мм, определяется гнойное отделяемое из-под десны. На ортопантомограмме – вертикальная деструкция костной ткани вокруг имплантатов.</w:t>
      </w:r>
    </w:p>
    <w:p w14:paraId="9C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поставьте диагноз. Назовите ключевые факторы риска. Составьте комплексный план лечебно-профилактических мероприятий.</w:t>
      </w:r>
    </w:p>
    <w:p w14:paraId="9D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 xml:space="preserve">50. </w:t>
      </w:r>
      <w:r>
        <w:rPr>
          <w:sz w:val="28"/>
        </w:rPr>
        <w:t>Клиническая ситуация: стоматолог на профилактическом осмотре у пациента 20 лет обнаруживает на жевательных поверхностях моляров пигментированные фиссуры. Зонд слегка задерживается, но болезненности нет. Врач решает применить диагностический метод витального окрашивания для уточнения диагноза.</w:t>
      </w:r>
    </w:p>
    <w:p w14:paraId="9E010000">
      <w:pPr>
        <w:pStyle w:val="Style_6"/>
        <w:widowControl w:val="1"/>
        <w:ind/>
        <w:jc w:val="both"/>
        <w:rPr>
          <w:sz w:val="28"/>
        </w:rPr>
      </w:pPr>
      <w:r>
        <w:rPr>
          <w:sz w:val="28"/>
        </w:rPr>
        <w:t>Задание: опишите суть метода витального окрашивания. Как буде</w:t>
      </w:r>
      <w:r>
        <w:rPr>
          <w:sz w:val="28"/>
        </w:rPr>
        <w:t>т выглядеть положительная проба.</w:t>
      </w:r>
      <w:r>
        <w:rPr>
          <w:sz w:val="28"/>
        </w:rPr>
        <w:t xml:space="preserve"> Какова дальнейшая тактика врача в зависимости от результата.</w:t>
      </w:r>
    </w:p>
    <w:p w14:paraId="9F010000">
      <w:pPr>
        <w:pStyle w:val="Style_6"/>
        <w:widowControl w:val="1"/>
        <w:ind/>
        <w:jc w:val="both"/>
        <w:rPr>
          <w:sz w:val="28"/>
        </w:rPr>
      </w:pPr>
    </w:p>
    <w:p w14:paraId="A0010000">
      <w:pPr>
        <w:widowControl w:val="1"/>
        <w:tabs>
          <w:tab w:leader="none" w:pos="1407" w:val="left"/>
          <w:tab w:leader="none" w:pos="2712" w:val="left"/>
          <w:tab w:leader="none" w:pos="4246" w:val="left"/>
          <w:tab w:leader="none" w:pos="4764" w:val="left"/>
          <w:tab w:leader="none" w:pos="6902" w:val="left"/>
          <w:tab w:leader="none" w:pos="8209" w:val="left"/>
        </w:tabs>
        <w:ind/>
        <w:jc w:val="center"/>
        <w:rPr>
          <w:b w:val="1"/>
          <w:sz w:val="28"/>
        </w:rPr>
      </w:pPr>
      <w:r>
        <w:rPr>
          <w:b w:val="1"/>
          <w:sz w:val="28"/>
        </w:rPr>
        <w:t>Перечень практических навыков</w:t>
      </w:r>
      <w:r>
        <w:rPr>
          <w:b w:val="1"/>
          <w:sz w:val="28"/>
        </w:rPr>
        <w:t xml:space="preserve"> </w:t>
      </w:r>
      <w:r>
        <w:rPr>
          <w:b w:val="1"/>
          <w:spacing w:val="-2"/>
          <w:sz w:val="28"/>
        </w:rPr>
        <w:t xml:space="preserve">выносимые </w:t>
      </w:r>
      <w:r>
        <w:rPr>
          <w:b w:val="1"/>
          <w:color w:val="1D1D1D"/>
          <w:spacing w:val="-6"/>
          <w:sz w:val="28"/>
        </w:rPr>
        <w:t xml:space="preserve">на </w:t>
      </w:r>
      <w:r>
        <w:rPr>
          <w:b w:val="1"/>
          <w:spacing w:val="-2"/>
          <w:sz w:val="28"/>
        </w:rPr>
        <w:t xml:space="preserve">государственную итоговую </w:t>
      </w:r>
      <w:r>
        <w:rPr>
          <w:b w:val="1"/>
          <w:spacing w:val="-6"/>
          <w:sz w:val="28"/>
        </w:rPr>
        <w:t xml:space="preserve">аттестацию </w:t>
      </w:r>
      <w:r>
        <w:rPr>
          <w:b w:val="1"/>
          <w:sz w:val="28"/>
        </w:rPr>
        <w:t>выпускников</w:t>
      </w:r>
      <w:r>
        <w:rPr>
          <w:b w:val="1"/>
          <w:spacing w:val="25"/>
          <w:sz w:val="28"/>
        </w:rPr>
        <w:t xml:space="preserve"> </w:t>
      </w:r>
      <w:r>
        <w:rPr>
          <w:b w:val="1"/>
          <w:color w:val="181818"/>
          <w:sz w:val="28"/>
        </w:rPr>
        <w:t xml:space="preserve">по </w:t>
      </w:r>
      <w:r>
        <w:rPr>
          <w:b w:val="1"/>
          <w:sz w:val="28"/>
        </w:rPr>
        <w:t>специальности</w:t>
      </w:r>
      <w:r>
        <w:rPr>
          <w:b w:val="1"/>
          <w:spacing w:val="-16"/>
          <w:sz w:val="28"/>
        </w:rPr>
        <w:t xml:space="preserve"> </w:t>
      </w:r>
      <w:r>
        <w:rPr>
          <w:b w:val="1"/>
          <w:sz w:val="28"/>
        </w:rPr>
        <w:t xml:space="preserve">31.02.06 </w:t>
      </w:r>
      <w:r>
        <w:rPr>
          <w:b w:val="1"/>
          <w:sz w:val="28"/>
        </w:rPr>
        <w:t>—</w:t>
      </w:r>
      <w:r>
        <w:rPr>
          <w:b w:val="1"/>
          <w:spacing w:val="-3"/>
          <w:sz w:val="28"/>
        </w:rPr>
        <w:t xml:space="preserve"> </w:t>
      </w:r>
      <w:r>
        <w:rPr>
          <w:b w:val="1"/>
          <w:sz w:val="28"/>
        </w:rPr>
        <w:t>Стоматология профилактическая</w:t>
      </w:r>
    </w:p>
    <w:p w14:paraId="A1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стоматологического обследования детей различного возраста и взрослых.</w:t>
      </w:r>
    </w:p>
    <w:p w14:paraId="A2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Запись зубной формулы постоянных и временных зубов в соответствии с международной системой обозначения.</w:t>
      </w:r>
    </w:p>
    <w:p w14:paraId="A3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состояния твердых тканей зубов с помощью индексов КПУ, КПУ+кп, кп зубов и поверхностей.</w:t>
      </w:r>
    </w:p>
    <w:p w14:paraId="A4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состояния тканей пародонта с помощью пародонтальных индексов CPITN, РМА и др.</w:t>
      </w:r>
    </w:p>
    <w:p w14:paraId="A5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гигиенического состояния полости рта</w:t>
      </w:r>
      <w:r>
        <w:rPr>
          <w:sz w:val="28"/>
        </w:rPr>
        <w:t xml:space="preserve"> у взрослых и детей</w:t>
      </w:r>
      <w:bookmarkStart w:id="1" w:name="_GoBack"/>
      <w:bookmarkEnd w:id="1"/>
      <w:r>
        <w:rPr>
          <w:sz w:val="28"/>
        </w:rPr>
        <w:t xml:space="preserve"> с помощью индексов Федорова-Володкиной, Грин-Вермиллиону, РНР и др.</w:t>
      </w:r>
    </w:p>
    <w:p w14:paraId="A6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методики витального окрашивания очагов деминерализации эмали.</w:t>
      </w:r>
    </w:p>
    <w:p w14:paraId="A7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Осуществление индивидуального подбора средств гигиены полости рта пациенту.</w:t>
      </w:r>
    </w:p>
    <w:p w14:paraId="A8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Выполнение различных методов чистки зубов на фантомах.</w:t>
      </w:r>
    </w:p>
    <w:p w14:paraId="A9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Обучение детей различного возраста чистке зубов  индивидуально и в группе.</w:t>
      </w:r>
    </w:p>
    <w:p w14:paraId="AA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контролируемой чистки зубов.</w:t>
      </w:r>
    </w:p>
    <w:p w14:paraId="AB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Применение флоссов, эликсиров, ершиков и обучение пациента методике их использования.</w:t>
      </w:r>
    </w:p>
    <w:p w14:paraId="AC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профилактики ранних форм кариеса в период прорезывания постоянных зубов.</w:t>
      </w:r>
    </w:p>
    <w:p w14:paraId="AD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Применение реминерализующих средств индивидуально и в группе детей.</w:t>
      </w:r>
    </w:p>
    <w:p w14:paraId="AE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Применение фторидсодержащих растворы в различных концентрациях индивидуально и в группе детей.</w:t>
      </w:r>
    </w:p>
    <w:p w14:paraId="AF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Покрытие зубов фторидсодержащим лаком и гелем.</w:t>
      </w:r>
    </w:p>
    <w:p w14:paraId="B0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показаний и назначение таблеток фторида натрия. Выписывание рецептов.</w:t>
      </w:r>
    </w:p>
    <w:p w14:paraId="B1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Герметизация фиссур зубов.</w:t>
      </w:r>
    </w:p>
    <w:p w14:paraId="B2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Удаление над- и поддесневых минерализованных зубных отложений.</w:t>
      </w:r>
    </w:p>
    <w:p w14:paraId="B3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Поведение обучения чистке зубов в группах детей различного возраста.</w:t>
      </w:r>
    </w:p>
    <w:p w14:paraId="B4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беседы с детьми различного возраста и их родителями о правилах чистки зубов и выборе средств гигиены.</w:t>
      </w:r>
    </w:p>
    <w:p w14:paraId="B5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индивидуальной и групповой профилактики стоматологических заболеваний у детей в условиях поликлиники, детского сада, школы.</w:t>
      </w:r>
    </w:p>
    <w:p w14:paraId="B6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"уроков здоровья" в организованных детских коллективах.</w:t>
      </w:r>
    </w:p>
    <w:p w14:paraId="B7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Подготовка наглядных материалов по стоматологическому просвещению.</w:t>
      </w:r>
    </w:p>
    <w:p w14:paraId="B8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Подготовка лекций, бесед, памяток по профилактике стоматологических заболеваний.</w:t>
      </w:r>
    </w:p>
    <w:p w14:paraId="B9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групповых бесед с родителями, детьми, беременными женщинами о профилактике кариеса, болезней пародонта и зубочелюстных аномалий.</w:t>
      </w:r>
    </w:p>
    <w:p w14:paraId="BA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распространенности и интенсивность основных стоматологических заболеваний (кариеса, болезней пародонта) в группе обследованных.</w:t>
      </w:r>
    </w:p>
    <w:p w14:paraId="BB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анализа стоматологической ситуации в заданном районе.</w:t>
      </w:r>
    </w:p>
    <w:p w14:paraId="BC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целей, задач, средств и методов для разработки программ профилактики на индивидуальном и групповом уровне.</w:t>
      </w:r>
    </w:p>
    <w:p w14:paraId="BD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Определение контингента населения, нуждающегося в профилактике стоматологических заболеваний.</w:t>
      </w:r>
    </w:p>
    <w:p w14:paraId="BE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Проведение организационных мероприятий, предшествующих внедрению программ профилактики.</w:t>
      </w:r>
    </w:p>
    <w:p w14:paraId="BF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Обучение вспомогательного персонала некоторым методам профилактики кариеса и болезней пародонта.</w:t>
      </w:r>
    </w:p>
    <w:p w14:paraId="C0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sz w:val="28"/>
        </w:rPr>
      </w:pPr>
      <w:r>
        <w:rPr>
          <w:sz w:val="28"/>
        </w:rPr>
        <w:t>Оценка эффективности программ профилактики через 1, 3, 5 лет.</w:t>
      </w:r>
    </w:p>
    <w:p w14:paraId="C1010000">
      <w:pPr>
        <w:pStyle w:val="Style_7"/>
        <w:widowControl w:val="1"/>
        <w:numPr>
          <w:ilvl w:val="0"/>
          <w:numId w:val="3"/>
        </w:numPr>
        <w:ind w:firstLine="0" w:left="0" w:right="0"/>
        <w:contextualSpacing w:val="1"/>
        <w:rPr>
          <w:b w:val="1"/>
          <w:sz w:val="28"/>
        </w:rPr>
      </w:pPr>
      <w:r>
        <w:rPr>
          <w:sz w:val="28"/>
        </w:rPr>
        <w:t>Проведение анкетирования населения по вопросам гигиены полости рта, возникновению и предупреждению стоматологических заболеваний.</w:t>
      </w:r>
    </w:p>
    <w:p w14:paraId="C2010000">
      <w:pPr>
        <w:widowControl w:val="1"/>
        <w:ind/>
        <w:jc w:val="both"/>
        <w:rPr>
          <w:sz w:val="28"/>
        </w:rPr>
      </w:pPr>
    </w:p>
    <w:p w14:paraId="C3010000">
      <w:pPr>
        <w:pStyle w:val="Style_6"/>
        <w:widowControl w:val="1"/>
        <w:ind/>
        <w:jc w:val="both"/>
        <w:rPr>
          <w:sz w:val="28"/>
        </w:rPr>
      </w:pPr>
    </w:p>
    <w:p w14:paraId="C4010000">
      <w:pPr>
        <w:pStyle w:val="Style_5"/>
        <w:widowControl w:val="1"/>
        <w:ind w:left="0"/>
        <w:rPr>
          <w:b w:val="0"/>
          <w:spacing w:val="-2"/>
          <w:sz w:val="28"/>
        </w:rPr>
      </w:pPr>
      <w:r>
        <w:rPr>
          <w:spacing w:val="-2"/>
          <w:sz w:val="28"/>
        </w:rPr>
        <w:t>VII</w:t>
      </w:r>
      <w:r>
        <w:rPr>
          <w:spacing w:val="-2"/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3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подготовки к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ГИА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специальности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3</w:t>
      </w:r>
      <w:r>
        <w:rPr>
          <w:spacing w:val="-2"/>
          <w:sz w:val="28"/>
        </w:rPr>
        <w:t>1</w:t>
      </w:r>
      <w:r>
        <w:rPr>
          <w:spacing w:val="-2"/>
          <w:sz w:val="28"/>
        </w:rPr>
        <w:t>.02.0</w:t>
      </w:r>
      <w:r>
        <w:rPr>
          <w:spacing w:val="-2"/>
          <w:sz w:val="28"/>
        </w:rPr>
        <w:t>6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—</w:t>
      </w:r>
      <w:r>
        <w:rPr>
          <w:spacing w:val="-13"/>
          <w:sz w:val="28"/>
        </w:rPr>
        <w:t>Стоматология профилактическая</w:t>
      </w:r>
    </w:p>
    <w:p w14:paraId="C5010000">
      <w:pPr>
        <w:widowControl w:val="1"/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Основная литература</w:t>
      </w:r>
    </w:p>
    <w:p w14:paraId="C6010000">
      <w:pPr>
        <w:pStyle w:val="Style_6"/>
        <w:widowControl w:val="1"/>
        <w:ind w:firstLine="567"/>
        <w:jc w:val="both"/>
        <w:rPr>
          <w:sz w:val="28"/>
        </w:rPr>
      </w:pPr>
      <w:r>
        <w:rPr>
          <w:sz w:val="28"/>
        </w:rPr>
        <w:t xml:space="preserve">1. Васильев В.И. Профилактика стоматологических заболеваний: учеб. </w:t>
      </w:r>
      <w:r>
        <w:rPr>
          <w:sz w:val="28"/>
        </w:rPr>
        <w:t>П</w:t>
      </w:r>
      <w:r>
        <w:rPr>
          <w:sz w:val="28"/>
        </w:rPr>
        <w:t>особие</w:t>
      </w:r>
      <w:r>
        <w:rPr>
          <w:sz w:val="28"/>
        </w:rPr>
        <w:t xml:space="preserve"> </w:t>
      </w:r>
      <w:r>
        <w:rPr>
          <w:sz w:val="28"/>
        </w:rPr>
        <w:t>для вузов. – 2– е изд., перераб. и доп. – Москва: Юрайт, 2023. – 386 с.</w:t>
      </w:r>
    </w:p>
    <w:p w14:paraId="C7010000">
      <w:pPr>
        <w:pStyle w:val="Style_6"/>
        <w:widowControl w:val="1"/>
        <w:ind w:firstLine="567"/>
        <w:jc w:val="both"/>
        <w:rPr>
          <w:sz w:val="28"/>
        </w:rPr>
      </w:pPr>
      <w:r>
        <w:rPr>
          <w:sz w:val="28"/>
        </w:rPr>
        <w:t>2. Васильев В.И. Профилактика стоматологических заболеваний: учеб. пособие.</w:t>
      </w:r>
      <w:r>
        <w:rPr>
          <w:sz w:val="28"/>
        </w:rPr>
        <w:t xml:space="preserve"> </w:t>
      </w:r>
      <w:r>
        <w:rPr>
          <w:sz w:val="28"/>
        </w:rPr>
        <w:t>– 2– е изд., перераб. и доп. – Москва: Юрайт, 2021. – 386 с.</w:t>
      </w:r>
    </w:p>
    <w:p w14:paraId="C8010000">
      <w:pPr>
        <w:pStyle w:val="Style_6"/>
        <w:widowControl w:val="1"/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</w:rPr>
        <w:t>Первичная</w:t>
      </w:r>
      <w:r>
        <w:rPr>
          <w:sz w:val="28"/>
        </w:rPr>
        <w:t xml:space="preserve"> </w:t>
      </w:r>
      <w:r>
        <w:rPr>
          <w:sz w:val="28"/>
        </w:rPr>
        <w:t>профилактика</w:t>
      </w:r>
      <w:r>
        <w:rPr>
          <w:sz w:val="28"/>
        </w:rPr>
        <w:t xml:space="preserve"> </w:t>
      </w:r>
      <w:r>
        <w:rPr>
          <w:sz w:val="28"/>
        </w:rPr>
        <w:t>кариеса</w:t>
      </w:r>
      <w:r>
        <w:rPr>
          <w:sz w:val="28"/>
        </w:rPr>
        <w:t xml:space="preserve"> </w:t>
      </w:r>
      <w:r>
        <w:rPr>
          <w:sz w:val="28"/>
        </w:rPr>
        <w:t>зубов</w:t>
      </w:r>
      <w:r>
        <w:rPr>
          <w:sz w:val="28"/>
        </w:rPr>
        <w:t xml:space="preserve"> // </w:t>
      </w:r>
      <w:r>
        <w:rPr>
          <w:sz w:val="28"/>
        </w:rPr>
        <w:t>Primary</w:t>
      </w:r>
      <w:r>
        <w:rPr>
          <w:sz w:val="28"/>
        </w:rPr>
        <w:t xml:space="preserve"> </w:t>
      </w:r>
      <w:r>
        <w:rPr>
          <w:sz w:val="28"/>
        </w:rPr>
        <w:t>prevention</w:t>
      </w:r>
      <w:r>
        <w:rPr>
          <w:sz w:val="28"/>
        </w:rPr>
        <w:t xml:space="preserve"> </w:t>
      </w:r>
      <w:r>
        <w:rPr>
          <w:sz w:val="28"/>
        </w:rPr>
        <w:t>of</w:t>
      </w:r>
      <w:r>
        <w:rPr>
          <w:sz w:val="28"/>
        </w:rPr>
        <w:t xml:space="preserve"> </w:t>
      </w:r>
      <w:r>
        <w:rPr>
          <w:sz w:val="28"/>
        </w:rPr>
        <w:t>dental</w:t>
      </w:r>
      <w:r>
        <w:rPr>
          <w:sz w:val="28"/>
        </w:rPr>
        <w:t xml:space="preserve"> </w:t>
      </w:r>
      <w:r>
        <w:rPr>
          <w:sz w:val="28"/>
        </w:rPr>
        <w:t>caries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учебное пособие / Н. В. Шаковец [и др.]. – Минск: БГМУ, 2023. – 172 с.</w:t>
      </w:r>
    </w:p>
    <w:p w14:paraId="C901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4.</w:t>
      </w:r>
      <w:r>
        <w:rPr>
          <w:sz w:val="28"/>
        </w:rPr>
        <w:t xml:space="preserve">. Терапевтическая стоматология детского возраста: учебник / Терехова, Тамара Николаевна [и др.] ; под ред. Т. Н. Тереховой. – 2– е изд., испр. и доп. – Минск: Новое знание, 2021. – 550 с. </w:t>
      </w:r>
    </w:p>
    <w:p w14:paraId="CA010000">
      <w:pPr>
        <w:widowControl w:val="1"/>
        <w:ind/>
        <w:jc w:val="both"/>
        <w:rPr>
          <w:sz w:val="28"/>
        </w:rPr>
      </w:pPr>
      <w:r>
        <w:rPr>
          <w:sz w:val="28"/>
        </w:rPr>
        <w:t>5</w:t>
      </w:r>
      <w:r>
        <w:rPr>
          <w:sz w:val="28"/>
        </w:rPr>
        <w:t xml:space="preserve">. Детская терапевтическая стоматология: учеб. пособие / Т.Н. Терехова – Минск: Новое знание, 2017.– 496 с. Дополнительная 1. Поликлиническая и госпитальная детская хирургическая стоматология: учебник / Корсак А.К.– Минск. – Вышейшая школа, 2016. – 527 с. </w:t>
      </w:r>
    </w:p>
    <w:p w14:paraId="CB010000">
      <w:pPr>
        <w:widowControl w:val="1"/>
        <w:ind/>
        <w:jc w:val="both"/>
        <w:rPr>
          <w:sz w:val="28"/>
        </w:rPr>
      </w:pPr>
      <w:r>
        <w:rPr>
          <w:sz w:val="28"/>
        </w:rPr>
        <w:t>6</w:t>
      </w:r>
      <w:r>
        <w:rPr>
          <w:sz w:val="28"/>
        </w:rPr>
        <w:t xml:space="preserve">. Детская хирургическая стоматология: учеб. пособие/ Под ред. А.К. Корсака. – Минск: Выш. шк., 2013.– 527 с.: ил. </w:t>
      </w:r>
    </w:p>
    <w:p w14:paraId="CC010000">
      <w:pPr>
        <w:widowControl w:val="1"/>
        <w:ind/>
        <w:jc w:val="both"/>
        <w:rPr>
          <w:sz w:val="28"/>
        </w:rPr>
      </w:pPr>
      <w:r>
        <w:rPr>
          <w:sz w:val="28"/>
        </w:rPr>
        <w:t>7</w:t>
      </w:r>
      <w:r>
        <w:rPr>
          <w:sz w:val="28"/>
        </w:rPr>
        <w:t>. Аллергические заболевания с проявлениями в полости рта у детей и подростков. Роль врача– стоматолога в комплексном лечен</w:t>
      </w:r>
      <w:r>
        <w:rPr>
          <w:sz w:val="28"/>
        </w:rPr>
        <w:t>ии: учеб.-метод. пособие / Т.Н.</w:t>
      </w:r>
      <w:r>
        <w:rPr>
          <w:sz w:val="28"/>
        </w:rPr>
        <w:t xml:space="preserve">Терехова [и др.]. – 2– е изд., </w:t>
      </w:r>
      <w:r>
        <w:rPr>
          <w:sz w:val="28"/>
        </w:rPr>
        <w:t>перераб. – Минск: БГМУ, 2011</w:t>
      </w:r>
      <w:r>
        <w:rPr>
          <w:sz w:val="28"/>
        </w:rPr>
        <w:t xml:space="preserve">68 </w:t>
      </w:r>
    </w:p>
    <w:p w14:paraId="CD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>8</w:t>
      </w:r>
      <w:r>
        <w:rPr>
          <w:sz w:val="28"/>
        </w:rPr>
        <w:t xml:space="preserve">. Бурак Ж.М. Изменения цвета зубов у детей и подростков: учеб.-метод. пособие. – Минск: БГМУ, 2012.– 22 с. </w:t>
      </w:r>
    </w:p>
    <w:p w14:paraId="CE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>9</w:t>
      </w:r>
      <w:r>
        <w:rPr>
          <w:sz w:val="28"/>
        </w:rPr>
        <w:t xml:space="preserve">. Гингивиты у детей: учеб. – метод. пособие/ Т.Н. Терехова. – Минск: БГМУ, 2012.– 31 с. </w:t>
      </w:r>
    </w:p>
    <w:p w14:paraId="CF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>10</w:t>
      </w:r>
      <w:r>
        <w:rPr>
          <w:sz w:val="28"/>
        </w:rPr>
        <w:t xml:space="preserve">. Госпитальная и поликлиническая детская хирургическая стоматология: учеб.- метод. пособие /А.К. Корсак. – Минск: БГМУ, 2011. – 94 с. </w:t>
      </w:r>
    </w:p>
    <w:p w14:paraId="D0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>11</w:t>
      </w:r>
      <w:r>
        <w:rPr>
          <w:sz w:val="28"/>
        </w:rPr>
        <w:t xml:space="preserve">. Заболевания губ и языка у детей: учеб. – метод. пособие/ Т.Н. Терехова. – Минск: БГМУ, 2013.– 46 с. </w:t>
      </w:r>
    </w:p>
    <w:p w14:paraId="D1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>12</w:t>
      </w:r>
      <w:r>
        <w:rPr>
          <w:sz w:val="28"/>
        </w:rPr>
        <w:t xml:space="preserve">. Использование пломбировочных материалов в практике детского врача– стоматолога: учеб.- метод. пособие/ Т.Н. Терехова и др.– Минск: БГМУ, 2015.– 36 с. </w:t>
      </w:r>
    </w:p>
    <w:p w14:paraId="D2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13. Терехова Т.Н. Организация стоматологического приёма детей различного возраста: учеб. – метод. пособие. – Минск: БГМУ, 2012.– 108 с. </w:t>
      </w:r>
    </w:p>
    <w:p w14:paraId="D3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14. Травматические повреждения зубов у детей: учеб. – метод. пособие. – Минск: БГМУ, 2011.– 47 с. </w:t>
      </w:r>
    </w:p>
    <w:p w14:paraId="D4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15. Травматические повреждения слизистой оболочки полости рта у детей: учеб. – метод. пособие. – Минск: БГМУ, 2010.– 36 с. </w:t>
      </w:r>
    </w:p>
    <w:p w14:paraId="D5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16. Шаковец Н.В. Кариес зубов у детей раннего возраста: учеб. – метод. пособие. – Минск: БГМУ, 2011. </w:t>
      </w:r>
    </w:p>
    <w:p w14:paraId="D6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17. Детская челюстно-лицевая хирургия. Сборник иллюстрированных клинических задач и тестов/ под ред. О.З. Топольницкого, А.П. Гургенадзе. – 2– е изд., перераб. и доп. – М.: ГЭОТАР– Медиа, 2015. – 176 с.: ил. </w:t>
      </w:r>
    </w:p>
    <w:p w14:paraId="D7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18. Кариес зубов у детей раннего возраста: монография / Н.В Шаковец, Т.Н. Терехова. – Минск: Изд. центр БГУ, 2013 – 211 с.: ил. Список литературы по дисциплине «Стоматология» </w:t>
      </w:r>
    </w:p>
    <w:p w14:paraId="D8010000">
      <w:pPr>
        <w:widowControl w:val="1"/>
        <w:ind/>
        <w:jc w:val="center"/>
        <w:rPr>
          <w:sz w:val="28"/>
        </w:rPr>
      </w:pPr>
      <w:r>
        <w:rPr>
          <w:b w:val="1"/>
          <w:sz w:val="28"/>
        </w:rPr>
        <w:t>Дополнительная</w:t>
      </w:r>
      <w:r>
        <w:rPr>
          <w:b w:val="1"/>
          <w:sz w:val="28"/>
        </w:rPr>
        <w:t xml:space="preserve">  литература</w:t>
      </w:r>
    </w:p>
    <w:p w14:paraId="D901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1. Терапевтическая стоматология детского возраста: учебник / Терехова, Тамара Николаевна [и др.] ; под ред. Т. Н. Тереховой. – 2– е изд., испр. и доп. – Минск: Новое знание, 2021. – 550 с. </w:t>
      </w:r>
    </w:p>
    <w:p w14:paraId="DA01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2. Детская терапевтическая стоматология: учеб. пособие / Т.Н. Терехова – Минск: Новое знание, 2017.– 496 с. Дополнительная 1. Поликлиническая и госпитальная детская хирургическая стоматология: учебник / Корсак А.К.– Минск. – Вышейшая школа, 2016. – 527 с. </w:t>
      </w:r>
    </w:p>
    <w:p w14:paraId="DB010000">
      <w:pPr>
        <w:widowControl w:val="1"/>
        <w:ind/>
        <w:jc w:val="both"/>
        <w:rPr>
          <w:sz w:val="28"/>
        </w:rPr>
      </w:pPr>
      <w:r>
        <w:rPr>
          <w:sz w:val="28"/>
        </w:rPr>
        <w:t xml:space="preserve">2. Детская хирургическая стоматология: учеб. пособие/ Под ред. А.К. Корсака. – Минск: Выш. шк., 2013.– 527 с.: ил. </w:t>
      </w:r>
    </w:p>
    <w:p w14:paraId="DC010000">
      <w:pPr>
        <w:widowControl w:val="1"/>
        <w:ind/>
        <w:jc w:val="both"/>
        <w:rPr>
          <w:sz w:val="28"/>
        </w:rPr>
      </w:pPr>
      <w:r>
        <w:rPr>
          <w:sz w:val="28"/>
        </w:rPr>
        <w:t>3. Аллергические заболевания с проявлениями в полости рта у детей и подростков. Роль врача– стоматолога в комплексном лечен</w:t>
      </w:r>
      <w:r>
        <w:rPr>
          <w:sz w:val="28"/>
        </w:rPr>
        <w:t>ии: учеб.-метод. пособие / Т.Н.</w:t>
      </w:r>
      <w:r>
        <w:rPr>
          <w:sz w:val="28"/>
        </w:rPr>
        <w:t xml:space="preserve">Терехова [и др.]. – 2– е изд., </w:t>
      </w:r>
      <w:r>
        <w:rPr>
          <w:sz w:val="28"/>
        </w:rPr>
        <w:t>перераб. – Минск: БГМУ, 2011</w:t>
      </w:r>
      <w:r>
        <w:rPr>
          <w:sz w:val="28"/>
        </w:rPr>
        <w:t xml:space="preserve">68 </w:t>
      </w:r>
    </w:p>
    <w:p w14:paraId="DD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4. Бурак Ж.М. Изменения цвета зубов у детей и подростков: учеб.-метод. пособие. – Минск: БГМУ, 2012.– 22 с. </w:t>
      </w:r>
    </w:p>
    <w:p w14:paraId="DE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5. Гингивиты у детей: учеб. – метод. пособие/ Т.Н. Терехова. – Минск: БГМУ, 2012.– 31 с. </w:t>
      </w:r>
    </w:p>
    <w:p w14:paraId="DF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6. Госпитальная и поликлиническая детская хирургическая стоматология: учеб.- метод. пособие /А.К. Корсак. – Минск: БГМУ, 2011. – 94 с. </w:t>
      </w:r>
    </w:p>
    <w:p w14:paraId="E0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7. Заболевания губ и языка у детей: учеб. – метод. пособие/ Т.Н. Терехова. – Минск: БГМУ, 2013.– 46 с. </w:t>
      </w:r>
    </w:p>
    <w:p w14:paraId="E1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8. Использование пломбировочных материалов в практике детского врача– стоматолога: учеб.- метод. пособие/ Т.Н. Терехова и др.– Минск: БГМУ, 2015.– 36 с. </w:t>
      </w:r>
    </w:p>
    <w:p w14:paraId="E2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9. Лечение кариеса зубов у детей: учеб. – метод. пособие/ О. В. Минченя и др.– Минск: БГМУ, 2013.– 64 с. </w:t>
      </w:r>
    </w:p>
    <w:p w14:paraId="E3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10. Написание истории болезни по «Стоматологии»: метод. рекомендации/ А.К. Корсак и др.– Минск: БГМУ, 2014.– 28 с. </w:t>
      </w:r>
    </w:p>
    <w:p w14:paraId="E4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11. Попруженко Т.В. Фториды в коммунальной профилактике кариеса зубов: монография в 2х ч.– Минск: БГМУ, 2010. </w:t>
      </w:r>
    </w:p>
    <w:p w14:paraId="E5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12. Проявления в полости рта соматических заболеваний у детей. Роль врача– стоматолога: учеб. – метод. пособие. – Минск: БГМУ, 2011.– 88 с. </w:t>
      </w:r>
    </w:p>
    <w:p w14:paraId="E6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13. Терехова Т.Н. Организация стоматологического приёма детей различного </w:t>
      </w:r>
      <w:r>
        <w:rPr>
          <w:sz w:val="28"/>
        </w:rPr>
        <w:t xml:space="preserve">возраста: учеб. – метод. пособие. – Минск: БГМУ, 2012.– 108 с. </w:t>
      </w:r>
    </w:p>
    <w:p w14:paraId="E7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14. Травматические повреждения зубов у детей: учеб. – метод. пособие. – Минск: БГМУ, 2011.– 47 с. </w:t>
      </w:r>
    </w:p>
    <w:p w14:paraId="E8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15. Травматические повреждения слизистой оболочки полости рта у детей: учеб. – метод. пособие. – Минск: БГМУ, 2010.– 36 с. </w:t>
      </w:r>
    </w:p>
    <w:p w14:paraId="E9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16. Шаковец Н.В. Кариес зубов у детей раннего возраста: учеб. – метод. пособие. – Минск: БГМУ, 2011. </w:t>
      </w:r>
    </w:p>
    <w:p w14:paraId="EA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17. Детская челюстно-лицевая хирургия. Сборник иллюстрированных клинических задач и тестов/ под ред. О.З. Топольницкого, А.П. Гургенадзе. – 2– е изд., перераб. и доп. – М.: ГЭОТАР– Медиа, 2015. – 176 с.: ил. </w:t>
      </w:r>
    </w:p>
    <w:p w14:paraId="EB010000">
      <w:pPr>
        <w:widowControl w:val="1"/>
        <w:ind w:right="2"/>
        <w:jc w:val="both"/>
        <w:rPr>
          <w:sz w:val="28"/>
        </w:rPr>
      </w:pPr>
      <w:r>
        <w:rPr>
          <w:sz w:val="28"/>
        </w:rPr>
        <w:t xml:space="preserve">18. Кариес зубов у детей раннего возраста: монография / Н.В Шаковец, Т.Н. Терехова. – Минск: Изд. центр БГУ, 2013 – 211 с.: ил. Список литературы по дисциплине «Стоматология» </w:t>
      </w:r>
    </w:p>
    <w:p w14:paraId="EC010000">
      <w:pPr>
        <w:widowControl w:val="1"/>
        <w:spacing w:line="360" w:lineRule="auto"/>
        <w:ind w:right="2"/>
        <w:jc w:val="center"/>
        <w:rPr>
          <w:b w:val="1"/>
          <w:sz w:val="28"/>
        </w:rPr>
      </w:pPr>
    </w:p>
    <w:p w14:paraId="ED010000">
      <w:pPr>
        <w:widowControl w:val="1"/>
        <w:spacing w:line="360" w:lineRule="auto"/>
        <w:ind w:right="2"/>
        <w:jc w:val="center"/>
        <w:rPr>
          <w:b w:val="1"/>
          <w:sz w:val="28"/>
        </w:rPr>
      </w:pPr>
    </w:p>
    <w:sectPr>
      <w:footerReference r:id="rId2" w:type="default"/>
      <w:pgSz w:h="16840" w:orient="portrait" w:w="11910"/>
      <w:pgMar w:bottom="1134" w:footer="1050" w:gutter="0" w:header="0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line="14" w:lineRule="auto"/>
      <w:ind/>
      <w:jc w:val="left"/>
      <w:rPr>
        <w:sz w:val="17"/>
      </w:rPr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spacing w:line="14" w:lineRule="auto"/>
      <w:ind/>
      <w:jc w:val="left"/>
      <w:rPr>
        <w:sz w:val="20"/>
      </w:rPr>
    </w:pPr>
    <w:r>
      <w:rPr>
        <w:sz w:val="20"/>
      </w:rP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3917033</wp:posOffset>
              </wp:positionH>
              <wp:positionV relativeFrom="page">
                <wp:posOffset>9882656</wp:posOffset>
              </wp:positionV>
              <wp:extent cx="229870" cy="158750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29870" cy="158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000000">
                          <w:pPr>
                            <w:pStyle w:val="Style_2"/>
                            <w:widowControl w:val="1"/>
                            <w:spacing w:line="229" w:lineRule="exact"/>
                            <w:ind w:left="60"/>
                            <w:rPr>
                              <w:rFonts w:ascii="Consolas" w:hAnsi="Consolas"/>
                              <w:sz w:val="21"/>
                            </w:rPr>
                          </w:pPr>
                          <w:r>
                            <w:rPr>
                              <w:rFonts w:ascii="Consolas" w:hAnsi="Consolas"/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ascii="Consolas" w:hAnsi="Consolas"/>
                              <w:spacing w:val="-5"/>
                              <w:sz w:val="21"/>
                            </w:rPr>
                            <w:instrText xml:space="preserve">PAGE </w:instrText>
                          </w:r>
                          <w:r>
                            <w:rPr>
                              <w:rFonts w:ascii="Consolas" w:hAnsi="Consolas"/>
                              <w:spacing w:val="-5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ascii="Consolas" w:hAnsi="Consolas"/>
                              <w:spacing w:val="-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Consolas" w:hAnsi="Consolas"/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widowControl w:val="1"/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 w:val="1"/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1"/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1"/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1"/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1"/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1"/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1"/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1"/>
        <w:ind w:hanging="360" w:left="7189"/>
      </w:pPr>
      <w:rPr>
        <w:rFonts w:ascii="Wingdings" w:hAnsi="Wingdings"/>
      </w:rPr>
    </w:lvl>
  </w:abstractNum>
  <w:abstractNum w:abstractNumId="1">
    <w:lvl w:ilvl="0">
      <w:start w:val="1"/>
      <w:numFmt w:val="bullet"/>
      <w:lvlText w:val=""/>
      <w:lvlJc w:val="left"/>
      <w:pPr>
        <w:widowControl w:val="1"/>
        <w:ind w:hanging="360" w:left="1429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 w:val="1"/>
        <w:ind w:hanging="360" w:left="2149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 w:val="1"/>
        <w:ind w:hanging="360" w:left="2869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 w:val="1"/>
        <w:ind w:hanging="360" w:left="3589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 w:val="1"/>
        <w:ind w:hanging="360" w:left="4309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 w:val="1"/>
        <w:ind w:hanging="360" w:left="5029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 w:val="1"/>
        <w:ind w:hanging="360" w:left="5749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 w:val="1"/>
        <w:ind w:hanging="360" w:left="6469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 w:val="1"/>
        <w:ind w:hanging="360" w:left="7189"/>
      </w:pPr>
      <w:rPr>
        <w:rFonts w:ascii="Wingdings" w:hAnsi="Wingdings"/>
      </w:rPr>
    </w:lvl>
  </w:abstractNum>
  <w:abstractNum w:abstractNumId="2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1"/>
      <w:numFmt w:val="lowerLetter"/>
      <w:lvlText w:val="%2."/>
      <w:lvlJc w:val="left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lvlText w:val="%4."/>
      <w:lvlJc w:val="left"/>
      <w:pPr>
        <w:widowControl w:val="1"/>
        <w:ind w:hanging="360" w:left="2880"/>
      </w:pPr>
    </w:lvl>
    <w:lvl w:ilvl="4">
      <w:start w:val="1"/>
      <w:numFmt w:val="lowerLetter"/>
      <w:lvlText w:val="%5."/>
      <w:lvlJc w:val="left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lvlText w:val="%7."/>
      <w:lvlJc w:val="left"/>
      <w:pPr>
        <w:widowControl w:val="1"/>
        <w:ind w:hanging="360" w:left="5040"/>
      </w:pPr>
    </w:lvl>
    <w:lvl w:ilvl="7">
      <w:start w:val="1"/>
      <w:numFmt w:val="lowerLetter"/>
      <w:lvlText w:val="%8."/>
      <w:lvlJc w:val="left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imes New Roman" w:hAnsi="Times New Roman"/>
    </w:rPr>
  </w:style>
  <w:style w:default="1" w:styleId="Style_2_ch" w:type="character">
    <w:name w:val="Normal"/>
    <w:link w:val="Style_2"/>
    <w:rPr>
      <w:rFonts w:ascii="Times New Roman" w:hAnsi="Times New Roman"/>
    </w:rPr>
  </w:style>
  <w:style w:styleId="Style_8" w:type="paragraph">
    <w:name w:val="toc 2"/>
    <w:next w:val="Style_2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2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2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2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End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Endnote"/>
    <w:link w:val="Style_12"/>
    <w:rPr>
      <w:rFonts w:ascii="XO Thames" w:hAnsi="XO Thames"/>
      <w:sz w:val="22"/>
    </w:rPr>
  </w:style>
  <w:style w:styleId="Style_13" w:type="paragraph">
    <w:name w:val="heading 3"/>
    <w:basedOn w:val="Style_2"/>
    <w:next w:val="Style_2"/>
    <w:link w:val="Style_13_ch"/>
    <w:uiPriority w:val="9"/>
    <w:qFormat/>
    <w:pPr>
      <w:keepNext w:val="1"/>
      <w:keepLines w:val="1"/>
      <w:widowControl w:val="1"/>
      <w:spacing w:before="40" w:line="259" w:lineRule="auto"/>
      <w:ind/>
      <w:outlineLvl w:val="2"/>
    </w:pPr>
    <w:rPr>
      <w:rFonts w:asciiTheme="majorAscii" w:hAnsiTheme="majorHAnsi"/>
      <w:color w:themeColor="accent1" w:themeShade="7F" w:val="244061"/>
      <w:sz w:val="24"/>
    </w:rPr>
  </w:style>
  <w:style w:styleId="Style_13_ch" w:type="character">
    <w:name w:val="heading 3"/>
    <w:basedOn w:val="Style_2_ch"/>
    <w:link w:val="Style_13"/>
    <w:rPr>
      <w:rFonts w:asciiTheme="majorAscii" w:hAnsiTheme="majorHAnsi"/>
      <w:color w:themeColor="accent1" w:themeShade="7F" w:val="244061"/>
      <w:sz w:val="24"/>
    </w:rPr>
  </w:style>
  <w:style w:styleId="Style_14" w:type="paragraph">
    <w:name w:val="Block Text"/>
    <w:basedOn w:val="Style_2"/>
    <w:link w:val="Style_14_ch"/>
    <w:pPr>
      <w:widowControl w:val="1"/>
      <w:ind w:left="-567" w:right="-766"/>
    </w:pPr>
    <w:rPr>
      <w:sz w:val="24"/>
    </w:rPr>
  </w:style>
  <w:style w:styleId="Style_14_ch" w:type="character">
    <w:name w:val="Block Text"/>
    <w:basedOn w:val="Style_2_ch"/>
    <w:link w:val="Style_14"/>
    <w:rPr>
      <w:sz w:val="24"/>
    </w:rPr>
  </w:style>
  <w:style w:styleId="Style_15" w:type="paragraph">
    <w:name w:val="Default"/>
    <w:link w:val="Style_15_ch"/>
    <w:pPr>
      <w:widowControl w:val="1"/>
      <w:ind/>
    </w:pPr>
    <w:rPr>
      <w:rFonts w:ascii="TTXEJF+TimesNewRomanPSMT" w:hAnsi="TTXEJF+TimesNewRomanPSMT"/>
      <w:color w:val="000000"/>
      <w:sz w:val="24"/>
    </w:rPr>
  </w:style>
  <w:style w:styleId="Style_15_ch" w:type="character">
    <w:name w:val="Default"/>
    <w:link w:val="Style_15"/>
    <w:rPr>
      <w:rFonts w:ascii="TTXEJF+TimesNewRomanPSMT" w:hAnsi="TTXEJF+TimesNewRomanPSMT"/>
      <w:color w:val="000000"/>
      <w:sz w:val="24"/>
    </w:rPr>
  </w:style>
  <w:style w:styleId="Style_16" w:type="paragraph">
    <w:name w:val="Table Paragraph"/>
    <w:basedOn w:val="Style_2"/>
    <w:link w:val="Style_16_ch"/>
  </w:style>
  <w:style w:styleId="Style_16_ch" w:type="character">
    <w:name w:val="Table Paragraph"/>
    <w:basedOn w:val="Style_2_ch"/>
    <w:link w:val="Style_16"/>
  </w:style>
  <w:style w:styleId="Style_6" w:type="paragraph">
    <w:name w:val="No Spacing"/>
    <w:link w:val="Style_6_ch"/>
    <w:pPr>
      <w:widowControl w:val="1"/>
      <w:ind/>
    </w:pPr>
    <w:rPr>
      <w:rFonts w:ascii="Times New Roman" w:hAnsi="Times New Roman"/>
      <w:sz w:val="24"/>
    </w:rPr>
  </w:style>
  <w:style w:styleId="Style_6_ch" w:type="character">
    <w:name w:val="No Spacing"/>
    <w:link w:val="Style_6"/>
    <w:rPr>
      <w:rFonts w:ascii="Times New Roman" w:hAnsi="Times New Roman"/>
      <w:sz w:val="24"/>
    </w:rPr>
  </w:style>
  <w:style w:styleId="Style_17" w:type="paragraph">
    <w:name w:val="toc 3"/>
    <w:next w:val="Style_2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7" w:type="paragraph">
    <w:name w:val="List Paragraph"/>
    <w:basedOn w:val="Style_2"/>
    <w:link w:val="Style_7_ch"/>
    <w:pPr>
      <w:widowControl w:val="1"/>
      <w:ind w:hanging="2" w:left="110" w:right="184"/>
      <w:jc w:val="both"/>
    </w:pPr>
  </w:style>
  <w:style w:styleId="Style_7_ch" w:type="character">
    <w:name w:val="List Paragraph"/>
    <w:basedOn w:val="Style_2_ch"/>
    <w:link w:val="Style_7"/>
  </w:style>
  <w:style w:styleId="Style_18" w:type="paragraph">
    <w:name w:val="Body Text 2"/>
    <w:basedOn w:val="Style_2"/>
    <w:link w:val="Style_18_ch"/>
    <w:pPr>
      <w:widowControl w:val="1"/>
      <w:spacing w:after="120" w:line="480" w:lineRule="auto"/>
      <w:ind/>
    </w:pPr>
    <w:rPr>
      <w:rFonts w:ascii="Calibri" w:hAnsi="Calibri"/>
    </w:rPr>
  </w:style>
  <w:style w:styleId="Style_18_ch" w:type="character">
    <w:name w:val="Body Text 2"/>
    <w:basedOn w:val="Style_2_ch"/>
    <w:link w:val="Style_18"/>
    <w:rPr>
      <w:rFonts w:ascii="Calibri" w:hAnsi="Calibri"/>
    </w:rPr>
  </w:style>
  <w:style w:styleId="Style_19" w:type="paragraph">
    <w:name w:val="Body Text Indent 2"/>
    <w:basedOn w:val="Style_2"/>
    <w:link w:val="Style_19_ch"/>
    <w:pPr>
      <w:widowControl w:val="1"/>
      <w:spacing w:line="360" w:lineRule="auto"/>
      <w:ind w:firstLine="1134" w:left="426"/>
      <w:jc w:val="both"/>
    </w:pPr>
    <w:rPr>
      <w:sz w:val="36"/>
    </w:rPr>
  </w:style>
  <w:style w:styleId="Style_19_ch" w:type="character">
    <w:name w:val="Body Text Indent 2"/>
    <w:basedOn w:val="Style_2_ch"/>
    <w:link w:val="Style_19"/>
    <w:rPr>
      <w:sz w:val="36"/>
    </w:rPr>
  </w:style>
  <w:style w:styleId="Style_20" w:type="paragraph">
    <w:name w:val="heading 5"/>
    <w:next w:val="Style_2"/>
    <w:link w:val="Style_2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0_ch" w:type="character">
    <w:name w:val="heading 5"/>
    <w:link w:val="Style_20"/>
    <w:rPr>
      <w:rFonts w:ascii="XO Thames" w:hAnsi="XO Thames"/>
      <w:b w:val="1"/>
      <w:sz w:val="22"/>
    </w:rPr>
  </w:style>
  <w:style w:styleId="Style_1" w:type="paragraph">
    <w:name w:val="Body Text"/>
    <w:basedOn w:val="Style_2"/>
    <w:link w:val="Style_1_ch"/>
    <w:pPr>
      <w:widowControl w:val="1"/>
      <w:ind/>
      <w:jc w:val="both"/>
    </w:pPr>
    <w:rPr>
      <w:sz w:val="24"/>
    </w:rPr>
  </w:style>
  <w:style w:styleId="Style_1_ch" w:type="character">
    <w:name w:val="Body Text"/>
    <w:basedOn w:val="Style_2_ch"/>
    <w:link w:val="Style_1"/>
    <w:rPr>
      <w:sz w:val="24"/>
    </w:rPr>
  </w:style>
  <w:style w:styleId="Style_5" w:type="paragraph">
    <w:name w:val="heading 1"/>
    <w:basedOn w:val="Style_2"/>
    <w:link w:val="Style_5_ch"/>
    <w:uiPriority w:val="9"/>
    <w:qFormat/>
    <w:pPr>
      <w:widowControl w:val="1"/>
      <w:ind w:left="804"/>
      <w:jc w:val="both"/>
      <w:outlineLvl w:val="0"/>
    </w:pPr>
    <w:rPr>
      <w:b w:val="1"/>
      <w:sz w:val="24"/>
    </w:rPr>
  </w:style>
  <w:style w:styleId="Style_5_ch" w:type="character">
    <w:name w:val="heading 1"/>
    <w:basedOn w:val="Style_2_ch"/>
    <w:link w:val="Style_5"/>
    <w:rPr>
      <w:b w:val="1"/>
      <w:sz w:val="24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2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Balloon Text"/>
    <w:basedOn w:val="Style_2"/>
    <w:link w:val="Style_25_ch"/>
    <w:rPr>
      <w:rFonts w:ascii="Segoe UI" w:hAnsi="Segoe UI"/>
      <w:sz w:val="18"/>
    </w:rPr>
  </w:style>
  <w:style w:styleId="Style_25_ch" w:type="character">
    <w:name w:val="Balloon Text"/>
    <w:basedOn w:val="Style_2_ch"/>
    <w:link w:val="Style_25"/>
    <w:rPr>
      <w:rFonts w:ascii="Segoe UI" w:hAnsi="Segoe UI"/>
      <w:sz w:val="18"/>
    </w:rPr>
  </w:style>
  <w:style w:styleId="Style_26" w:type="paragraph">
    <w:name w:val="toc 9"/>
    <w:next w:val="Style_2"/>
    <w:link w:val="Style_2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2"/>
    <w:link w:val="Style_2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List 2"/>
    <w:basedOn w:val="Style_2"/>
    <w:link w:val="Style_28_ch"/>
    <w:pPr>
      <w:widowControl w:val="1"/>
      <w:ind w:hanging="283" w:left="566"/>
    </w:pPr>
    <w:rPr>
      <w:sz w:val="20"/>
    </w:rPr>
  </w:style>
  <w:style w:styleId="Style_28_ch" w:type="character">
    <w:name w:val="List 2"/>
    <w:basedOn w:val="Style_2_ch"/>
    <w:link w:val="Style_28"/>
    <w:rPr>
      <w:sz w:val="20"/>
    </w:rPr>
  </w:style>
  <w:style w:styleId="Style_29" w:type="paragraph">
    <w:name w:val="toc 5"/>
    <w:next w:val="Style_2"/>
    <w:link w:val="Style_2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Default Paragraph Font"/>
    <w:link w:val="Style_30_ch"/>
  </w:style>
  <w:style w:styleId="Style_30_ch" w:type="character">
    <w:name w:val="Default Paragraph Font"/>
    <w:link w:val="Style_30"/>
  </w:style>
  <w:style w:styleId="Style_31" w:type="paragraph">
    <w:name w:val="Subtitle"/>
    <w:next w:val="Style_2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2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2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basedOn w:val="Style_2"/>
    <w:next w:val="Style_2"/>
    <w:link w:val="Style_34_ch"/>
    <w:uiPriority w:val="9"/>
    <w:qFormat/>
    <w:pPr>
      <w:keepNext w:val="1"/>
      <w:keepLines w:val="1"/>
      <w:widowControl w:val="1"/>
      <w:spacing w:before="40"/>
      <w:ind/>
      <w:outlineLvl w:val="1"/>
    </w:pPr>
    <w:rPr>
      <w:rFonts w:asciiTheme="majorAscii" w:hAnsiTheme="majorHAnsi"/>
      <w:color w:themeColor="accent1" w:themeShade="BF" w:val="376092"/>
      <w:sz w:val="26"/>
    </w:rPr>
  </w:style>
  <w:style w:styleId="Style_34_ch" w:type="character">
    <w:name w:val="heading 2"/>
    <w:basedOn w:val="Style_2_ch"/>
    <w:link w:val="Style_34"/>
    <w:rPr>
      <w:rFonts w:asciiTheme="majorAscii" w:hAnsiTheme="majorHAnsi"/>
      <w:color w:themeColor="accent1" w:themeShade="BF" w:val="376092"/>
      <w:sz w:val="26"/>
    </w:rPr>
  </w:style>
  <w:style w:styleId="Style_4" w:type="table">
    <w:name w:val="Table Grid"/>
    <w:basedOn w:val="Style_3"/>
    <w:pPr>
      <w:widowControl w:val="1"/>
      <w:ind/>
    </w:pPr>
    <w:rPr>
      <w:rFonts w:ascii="Calibri" w:hAnsi="Calibri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5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footer1.xml" Type="http://schemas.openxmlformats.org/officeDocument/2006/relationships/foot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footer2.xml" Type="http://schemas.openxmlformats.org/officeDocument/2006/relationships/footer"/>
  <Relationship Id="rId9" Target="numbering.xml" Type="http://schemas.openxmlformats.org/officeDocument/2006/relationships/numbering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MyOffice-CoreFramework-Android/39-1403.1124.10324.1037.1@679e5ff1b4970ca5064828970bd80f08e8f6daeb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2025-12-22T08:09:00Z</dcterms:created>
  <dcterms:modified xsi:type="dcterms:W3CDTF">2026-01-22T09:48:00Z</dcterms:modified>
</cp:coreProperties>
</file>